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AC" w:rsidRPr="006649AC" w:rsidRDefault="006649AC" w:rsidP="00B77741">
      <w:pPr>
        <w:rPr>
          <w:b/>
          <w:sz w:val="28"/>
          <w:szCs w:val="28"/>
        </w:rPr>
      </w:pPr>
      <w:r w:rsidRPr="006649AC">
        <w:rPr>
          <w:b/>
          <w:sz w:val="28"/>
          <w:szCs w:val="28"/>
        </w:rPr>
        <w:t xml:space="preserve">Muster-Widerspruch gegen Schreiben des Gesundheitsamtes zur Vorlage eines Nachweises nach § 20a </w:t>
      </w:r>
      <w:r w:rsidR="00745419">
        <w:rPr>
          <w:b/>
          <w:sz w:val="28"/>
          <w:szCs w:val="28"/>
        </w:rPr>
        <w:t xml:space="preserve">Abs. </w:t>
      </w:r>
      <w:r w:rsidRPr="006649AC">
        <w:rPr>
          <w:b/>
          <w:sz w:val="28"/>
          <w:szCs w:val="28"/>
        </w:rPr>
        <w:t xml:space="preserve">2 S. 1 IfSG </w:t>
      </w:r>
    </w:p>
    <w:p w:rsidR="006649AC" w:rsidRDefault="006649AC" w:rsidP="00B77741">
      <w:pPr>
        <w:rPr>
          <w:b/>
        </w:rPr>
      </w:pPr>
    </w:p>
    <w:p w:rsidR="006649AC" w:rsidRDefault="003B51A1" w:rsidP="00B77741">
      <w:pPr>
        <w:rPr>
          <w:b/>
        </w:rPr>
      </w:pPr>
      <w:r>
        <w:rPr>
          <w:b/>
          <w:i/>
        </w:rPr>
        <w:t>(passend</w:t>
      </w:r>
      <w:r w:rsidR="006649AC" w:rsidRPr="006649AC">
        <w:rPr>
          <w:b/>
          <w:i/>
        </w:rPr>
        <w:t xml:space="preserve"> für Bundesländer, die ein Widerspruchsverfahren </w:t>
      </w:r>
      <w:r>
        <w:rPr>
          <w:b/>
          <w:i/>
        </w:rPr>
        <w:t>im Bereich des Infektion</w:t>
      </w:r>
      <w:r>
        <w:rPr>
          <w:b/>
          <w:i/>
        </w:rPr>
        <w:t>s</w:t>
      </w:r>
      <w:r>
        <w:rPr>
          <w:b/>
          <w:i/>
        </w:rPr>
        <w:t xml:space="preserve">schutzgesetzes (IfSG) </w:t>
      </w:r>
      <w:r w:rsidR="006649AC" w:rsidRPr="006649AC">
        <w:rPr>
          <w:b/>
          <w:i/>
        </w:rPr>
        <w:t>vorsehen und ein solches nicht abgeschafft haben</w:t>
      </w:r>
      <w:r w:rsidR="007D011F">
        <w:rPr>
          <w:rStyle w:val="Funotenzeichen"/>
          <w:b/>
          <w:i/>
        </w:rPr>
        <w:footnoteReference w:id="1"/>
      </w:r>
      <w:r w:rsidR="006649AC" w:rsidRPr="006649AC">
        <w:rPr>
          <w:b/>
          <w:i/>
        </w:rPr>
        <w:t>)</w:t>
      </w:r>
      <w:r w:rsidR="006649AC">
        <w:rPr>
          <w:b/>
        </w:rPr>
        <w:t xml:space="preserve"> </w:t>
      </w:r>
    </w:p>
    <w:p w:rsidR="00BC593C" w:rsidRDefault="00BC593C" w:rsidP="00B77741">
      <w:pPr>
        <w:rPr>
          <w:b/>
        </w:rPr>
      </w:pPr>
    </w:p>
    <w:p w:rsidR="00BC593C" w:rsidRPr="00BC593C" w:rsidRDefault="00BC593C" w:rsidP="00BC593C">
      <w:pPr>
        <w:spacing w:after="200" w:line="276" w:lineRule="auto"/>
        <w:jc w:val="both"/>
        <w:rPr>
          <w:rFonts w:ascii="Calibri" w:eastAsia="Calibri" w:hAnsi="Calibri"/>
          <w:b/>
          <w:color w:val="FF0000"/>
          <w:sz w:val="28"/>
          <w:szCs w:val="28"/>
          <w:lang w:eastAsia="en-US"/>
        </w:rPr>
      </w:pPr>
      <w:r w:rsidRPr="00BC593C">
        <w:rPr>
          <w:rFonts w:ascii="Calibri" w:eastAsia="Calibri" w:hAnsi="Calibri"/>
          <w:b/>
          <w:color w:val="FF0000"/>
          <w:sz w:val="28"/>
          <w:szCs w:val="28"/>
          <w:lang w:eastAsia="en-US"/>
        </w:rPr>
        <w:t xml:space="preserve">(mit Blick auf den Beschluss des Bundesverfassungsgerichts vom 27.04.2022 zu </w:t>
      </w:r>
      <w:proofErr w:type="spellStart"/>
      <w:r w:rsidRPr="00BC593C">
        <w:rPr>
          <w:rFonts w:ascii="Calibri" w:eastAsia="Calibri" w:hAnsi="Calibri"/>
          <w:b/>
          <w:color w:val="FF0000"/>
          <w:sz w:val="28"/>
          <w:szCs w:val="28"/>
          <w:lang w:eastAsia="en-US"/>
        </w:rPr>
        <w:t>Az</w:t>
      </w:r>
      <w:proofErr w:type="spellEnd"/>
      <w:r w:rsidRPr="00BC593C">
        <w:rPr>
          <w:rFonts w:ascii="Calibri" w:eastAsia="Calibri" w:hAnsi="Calibri"/>
          <w:b/>
          <w:color w:val="FF0000"/>
          <w:sz w:val="28"/>
          <w:szCs w:val="28"/>
          <w:lang w:eastAsia="en-US"/>
        </w:rPr>
        <w:t xml:space="preserve"> </w:t>
      </w:r>
      <w:hyperlink r:id="rId7" w:history="1">
        <w:r w:rsidRPr="00BC593C">
          <w:rPr>
            <w:rFonts w:ascii="Calibri" w:eastAsia="Calibri" w:hAnsi="Calibri"/>
            <w:b/>
            <w:color w:val="FF0000"/>
            <w:sz w:val="28"/>
            <w:szCs w:val="28"/>
            <w:lang w:eastAsia="en-US"/>
          </w:rPr>
          <w:t xml:space="preserve">1 </w:t>
        </w:r>
        <w:proofErr w:type="spellStart"/>
        <w:r w:rsidRPr="00BC593C">
          <w:rPr>
            <w:rFonts w:ascii="Calibri" w:eastAsia="Calibri" w:hAnsi="Calibri"/>
            <w:b/>
            <w:color w:val="FF0000"/>
            <w:sz w:val="28"/>
            <w:szCs w:val="28"/>
            <w:lang w:eastAsia="en-US"/>
          </w:rPr>
          <w:t>BvR</w:t>
        </w:r>
        <w:proofErr w:type="spellEnd"/>
        <w:r w:rsidRPr="00BC593C">
          <w:rPr>
            <w:rFonts w:ascii="Calibri" w:eastAsia="Calibri" w:hAnsi="Calibri"/>
            <w:b/>
            <w:color w:val="FF0000"/>
            <w:sz w:val="28"/>
            <w:szCs w:val="28"/>
            <w:lang w:eastAsia="en-US"/>
          </w:rPr>
          <w:t xml:space="preserve"> 2649/21</w:t>
        </w:r>
      </w:hyperlink>
      <w:r w:rsidRPr="00BC593C">
        <w:rPr>
          <w:rFonts w:ascii="Calibri" w:eastAsia="Calibri" w:hAnsi="Calibri"/>
          <w:b/>
          <w:color w:val="FF0000"/>
          <w:sz w:val="28"/>
          <w:szCs w:val="28"/>
          <w:lang w:eastAsia="en-US"/>
        </w:rPr>
        <w:t xml:space="preserve"> aktualisierte Fassung) </w:t>
      </w:r>
    </w:p>
    <w:p w:rsidR="006649AC" w:rsidRDefault="006649AC" w:rsidP="00B77741"/>
    <w:p w:rsidR="006649AC" w:rsidRDefault="006649AC" w:rsidP="00B77741"/>
    <w:p w:rsidR="006649AC" w:rsidRDefault="007D7F6A" w:rsidP="00B77741">
      <w:r>
        <w:t>Stadt / Landkreis ……….</w:t>
      </w:r>
    </w:p>
    <w:p w:rsidR="00B77741" w:rsidRPr="00B77741" w:rsidRDefault="00B77741" w:rsidP="00B77741">
      <w:r>
        <w:t xml:space="preserve">Gesundheitsamt </w:t>
      </w:r>
    </w:p>
    <w:p w:rsidR="00B77741" w:rsidRDefault="006649AC">
      <w:r>
        <w:t>……….</w:t>
      </w:r>
    </w:p>
    <w:p w:rsidR="00B77741" w:rsidRDefault="00B77741"/>
    <w:p w:rsidR="00B77741" w:rsidRDefault="00B77741" w:rsidP="00B77741">
      <w:pPr>
        <w:spacing w:before="120" w:after="120" w:line="360" w:lineRule="auto"/>
      </w:pPr>
      <w:r>
        <w:t xml:space="preserve">Sehr geehrte Damen und Herren, </w:t>
      </w:r>
    </w:p>
    <w:p w:rsidR="00A77625" w:rsidRDefault="00B77741" w:rsidP="00B77741">
      <w:pPr>
        <w:spacing w:before="120" w:after="120" w:line="360" w:lineRule="auto"/>
        <w:jc w:val="both"/>
      </w:pPr>
      <w:r>
        <w:t xml:space="preserve">gegen Ihren Bescheid vom </w:t>
      </w:r>
      <w:r>
        <w:fldChar w:fldCharType="begin">
          <w:ffData>
            <w:name w:val="Text1"/>
            <w:enabled/>
            <w:calcOnExit w:val="0"/>
            <w:textInput>
              <w:default w:val=".........................."/>
            </w:textInput>
          </w:ffData>
        </w:fldChar>
      </w:r>
      <w:bookmarkStart w:id="0" w:name="Text1"/>
      <w:r>
        <w:instrText xml:space="preserve"> FORMTEXT </w:instrText>
      </w:r>
      <w:r>
        <w:fldChar w:fldCharType="separate"/>
      </w:r>
      <w:r>
        <w:rPr>
          <w:noProof/>
        </w:rPr>
        <w:t>..........................</w:t>
      </w:r>
      <w:r>
        <w:fldChar w:fldCharType="end"/>
      </w:r>
      <w:bookmarkEnd w:id="0"/>
      <w:r>
        <w:t xml:space="preserve"> zur Vorlage ei</w:t>
      </w:r>
      <w:r w:rsidR="00A77625">
        <w:t>nes Nachweises nach § 20a Abs. 2</w:t>
      </w:r>
      <w:r>
        <w:t xml:space="preserve"> Satz 1 IfSG </w:t>
      </w:r>
      <w:r w:rsidR="00A77625">
        <w:t xml:space="preserve">(Anforderung eines Nachweises auf Grundlage von § 20 Abs. 5 S. 1 IfSG) </w:t>
      </w:r>
      <w:r>
        <w:t xml:space="preserve">lege ich hiermit </w:t>
      </w:r>
    </w:p>
    <w:p w:rsidR="00A77625" w:rsidRPr="00B77741" w:rsidRDefault="00B77741" w:rsidP="00E3002C">
      <w:pPr>
        <w:spacing w:before="120" w:after="120" w:line="360" w:lineRule="auto"/>
        <w:jc w:val="center"/>
        <w:rPr>
          <w:b/>
        </w:rPr>
      </w:pPr>
      <w:r w:rsidRPr="00B77741">
        <w:rPr>
          <w:b/>
        </w:rPr>
        <w:t>W</w:t>
      </w:r>
      <w:r>
        <w:rPr>
          <w:b/>
        </w:rPr>
        <w:t xml:space="preserve"> </w:t>
      </w:r>
      <w:r w:rsidRPr="00B77741">
        <w:rPr>
          <w:b/>
        </w:rPr>
        <w:t>i</w:t>
      </w:r>
      <w:r>
        <w:rPr>
          <w:b/>
        </w:rPr>
        <w:t xml:space="preserve"> </w:t>
      </w:r>
      <w:r w:rsidRPr="00B77741">
        <w:rPr>
          <w:b/>
        </w:rPr>
        <w:t>d</w:t>
      </w:r>
      <w:r>
        <w:rPr>
          <w:b/>
        </w:rPr>
        <w:t xml:space="preserve"> </w:t>
      </w:r>
      <w:r w:rsidRPr="00B77741">
        <w:rPr>
          <w:b/>
        </w:rPr>
        <w:t>e</w:t>
      </w:r>
      <w:r>
        <w:rPr>
          <w:b/>
        </w:rPr>
        <w:t xml:space="preserve"> </w:t>
      </w:r>
      <w:r w:rsidRPr="00B77741">
        <w:rPr>
          <w:b/>
        </w:rPr>
        <w:t>r</w:t>
      </w:r>
      <w:r>
        <w:rPr>
          <w:b/>
        </w:rPr>
        <w:t xml:space="preserve"> </w:t>
      </w:r>
      <w:r w:rsidRPr="00B77741">
        <w:rPr>
          <w:b/>
        </w:rPr>
        <w:t>s</w:t>
      </w:r>
      <w:r>
        <w:rPr>
          <w:b/>
        </w:rPr>
        <w:t xml:space="preserve"> </w:t>
      </w:r>
      <w:r w:rsidRPr="00B77741">
        <w:rPr>
          <w:b/>
        </w:rPr>
        <w:t>p</w:t>
      </w:r>
      <w:r>
        <w:rPr>
          <w:b/>
        </w:rPr>
        <w:t xml:space="preserve"> </w:t>
      </w:r>
      <w:r w:rsidRPr="00B77741">
        <w:rPr>
          <w:b/>
        </w:rPr>
        <w:t>r</w:t>
      </w:r>
      <w:r>
        <w:rPr>
          <w:b/>
        </w:rPr>
        <w:t xml:space="preserve"> </w:t>
      </w:r>
      <w:r w:rsidRPr="00B77741">
        <w:rPr>
          <w:b/>
        </w:rPr>
        <w:t>u</w:t>
      </w:r>
      <w:r>
        <w:rPr>
          <w:b/>
        </w:rPr>
        <w:t xml:space="preserve"> </w:t>
      </w:r>
      <w:r w:rsidRPr="00B77741">
        <w:rPr>
          <w:b/>
        </w:rPr>
        <w:t>c</w:t>
      </w:r>
      <w:r>
        <w:rPr>
          <w:b/>
        </w:rPr>
        <w:t xml:space="preserve"> </w:t>
      </w:r>
      <w:r w:rsidRPr="00B77741">
        <w:rPr>
          <w:b/>
        </w:rPr>
        <w:t>h</w:t>
      </w:r>
    </w:p>
    <w:p w:rsidR="00B77741" w:rsidRDefault="00B77741" w:rsidP="00B77741">
      <w:pPr>
        <w:spacing w:before="120" w:after="120" w:line="360" w:lineRule="auto"/>
        <w:jc w:val="both"/>
      </w:pPr>
      <w:r>
        <w:t xml:space="preserve">ein. </w:t>
      </w:r>
    </w:p>
    <w:p w:rsidR="00BC593C" w:rsidRDefault="00BC593C" w:rsidP="00B77741">
      <w:pPr>
        <w:spacing w:before="120" w:after="120" w:line="360" w:lineRule="auto"/>
        <w:jc w:val="both"/>
      </w:pPr>
    </w:p>
    <w:p w:rsidR="00BC593C" w:rsidRPr="00BC593C" w:rsidRDefault="00BC593C" w:rsidP="00BC593C">
      <w:pPr>
        <w:spacing w:before="120" w:after="120" w:line="360" w:lineRule="auto"/>
        <w:jc w:val="both"/>
      </w:pPr>
      <w:proofErr w:type="gramStart"/>
      <w:r>
        <w:t>1.</w:t>
      </w:r>
      <w:r w:rsidRPr="00BC593C">
        <w:t>Ihr</w:t>
      </w:r>
      <w:proofErr w:type="gramEnd"/>
      <w:r w:rsidRPr="00BC593C">
        <w:t xml:space="preserve"> Schreiben enthält die auf § 20a Abs. 5 S. 1 gestützte Aufforderung, </w:t>
      </w:r>
      <w:r>
        <w:t xml:space="preserve">innerhalb der </w:t>
      </w:r>
      <w:r w:rsidR="005F3799">
        <w:t>im Schreiben fest</w:t>
      </w:r>
      <w:r>
        <w:t xml:space="preserve">gesetzten Frist </w:t>
      </w:r>
      <w:r w:rsidRPr="00BC593C">
        <w:t>ei</w:t>
      </w:r>
      <w:r w:rsidR="00316C57">
        <w:t>nen der nach § 20a Abs. 1 oder A</w:t>
      </w:r>
      <w:r w:rsidRPr="00BC593C">
        <w:t xml:space="preserve">bs. 2 IfSG vorgesehenen Nachweise vorzulegen. Dabei handelt es sich um eine eigenständige verbindliche regelnde Anordnung und damit um einen Verwaltungsakt, gegen den ein Widerspruch statthaft ist. </w:t>
      </w:r>
    </w:p>
    <w:p w:rsidR="00BC593C" w:rsidRPr="00BC593C" w:rsidRDefault="00BC593C" w:rsidP="00BC593C">
      <w:pPr>
        <w:spacing w:before="120" w:after="120" w:line="360" w:lineRule="auto"/>
        <w:jc w:val="both"/>
      </w:pPr>
      <w:r w:rsidRPr="00BC593C">
        <w:t>Zu der wortlautidentischen Parallelregelung des § 20 Abs. 12 S. 1 IfSG im Masernschutzg</w:t>
      </w:r>
      <w:r w:rsidRPr="00BC593C">
        <w:t>e</w:t>
      </w:r>
      <w:r w:rsidRPr="00BC593C">
        <w:t xml:space="preserve">setz </w:t>
      </w:r>
      <w:proofErr w:type="spellStart"/>
      <w:r w:rsidRPr="00BC593C">
        <w:t>heisst</w:t>
      </w:r>
      <w:proofErr w:type="spellEnd"/>
      <w:r w:rsidRPr="00BC593C">
        <w:t xml:space="preserve"> es in der Gesetzesbegründung (Drucksache 19/13452 - S. 30 von 56):</w:t>
      </w:r>
      <w:r w:rsidRPr="00BC593C">
        <w:rPr>
          <w:i/>
        </w:rPr>
        <w:t xml:space="preserve"> </w:t>
      </w:r>
    </w:p>
    <w:p w:rsidR="00BC593C" w:rsidRPr="00BC593C" w:rsidRDefault="00BC593C" w:rsidP="00BC593C">
      <w:pPr>
        <w:spacing w:before="120" w:after="120" w:line="360" w:lineRule="auto"/>
        <w:jc w:val="both"/>
      </w:pPr>
      <w:r w:rsidRPr="00BC593C">
        <w:rPr>
          <w:i/>
        </w:rPr>
        <w:t xml:space="preserve">„Bei der </w:t>
      </w:r>
      <w:r w:rsidRPr="00BC593C">
        <w:rPr>
          <w:b/>
          <w:i/>
        </w:rPr>
        <w:t xml:space="preserve">Vorlagepflicht </w:t>
      </w:r>
      <w:r w:rsidRPr="00BC593C">
        <w:rPr>
          <w:i/>
        </w:rPr>
        <w:t xml:space="preserve">an das Gesundheitsamt </w:t>
      </w:r>
      <w:r w:rsidRPr="00BC593C">
        <w:rPr>
          <w:i/>
          <w:u w:val="single"/>
        </w:rPr>
        <w:t>handelt es sich um eine durch Verwaltung</w:t>
      </w:r>
      <w:r w:rsidRPr="00BC593C">
        <w:rPr>
          <w:i/>
          <w:u w:val="single"/>
        </w:rPr>
        <w:t>s</w:t>
      </w:r>
      <w:r w:rsidRPr="00BC593C">
        <w:rPr>
          <w:i/>
          <w:u w:val="single"/>
        </w:rPr>
        <w:t>vollstreckungsrecht und insbesondere mit Zwangsgeld durchsetzbare Pflicht.</w:t>
      </w:r>
      <w:r w:rsidRPr="00BC593C">
        <w:rPr>
          <w:i/>
        </w:rPr>
        <w:t xml:space="preserve"> </w:t>
      </w:r>
      <w:r w:rsidRPr="00BC593C">
        <w:rPr>
          <w:i/>
          <w:u w:val="single"/>
        </w:rPr>
        <w:t xml:space="preserve">Zusätzlich oder alternativ kann ein Bußgeld verhängt werden </w:t>
      </w:r>
      <w:r w:rsidRPr="00BC593C">
        <w:rPr>
          <w:i/>
        </w:rPr>
        <w:t xml:space="preserve">(vergleiche Nummer 13). Ist die verpflichtete Person ohne Vorwerfbarkeit daran gehindert, einen Nachweis vorzulegen (etwa im Fall eines Impfstoffmangels), kommen sowohl Zwangsgeld als auch Bußgeld von Vornherein nicht in Betracht“ </w:t>
      </w:r>
    </w:p>
    <w:p w:rsidR="00BC593C" w:rsidRDefault="00BC593C" w:rsidP="00BC593C">
      <w:pPr>
        <w:spacing w:before="120" w:after="120" w:line="360" w:lineRule="auto"/>
        <w:jc w:val="both"/>
      </w:pPr>
      <w:r w:rsidRPr="00BC593C">
        <w:t>Auch das OVG Sachsen-Anhalt geht in seinem Beschluss vom 21.10.2021 - 3 M 134/21 e</w:t>
      </w:r>
      <w:r w:rsidRPr="00BC593C">
        <w:t>r</w:t>
      </w:r>
      <w:r w:rsidRPr="00BC593C">
        <w:t>sichtlich von der Verwaltungsakts-Qualität einer solchen behördlichen Aufforderung zur Vo</w:t>
      </w:r>
      <w:r w:rsidRPr="00BC593C">
        <w:t>r</w:t>
      </w:r>
      <w:r w:rsidRPr="00BC593C">
        <w:t xml:space="preserve">lage eines Immunitätsnachweises aus. </w:t>
      </w:r>
    </w:p>
    <w:p w:rsidR="00BC593C" w:rsidRDefault="005F3799" w:rsidP="00B77741">
      <w:pPr>
        <w:spacing w:before="120" w:after="120" w:line="360" w:lineRule="auto"/>
        <w:jc w:val="both"/>
      </w:pPr>
      <w:r>
        <w:lastRenderedPageBreak/>
        <w:t>Auch bei I</w:t>
      </w:r>
      <w:r w:rsidR="00CD38D1" w:rsidRPr="00BC593C">
        <w:t>hrem Schreiben handelt es sich deshalb, soweit es die Vorlagepflicht eines Nac</w:t>
      </w:r>
      <w:r w:rsidR="00CD38D1" w:rsidRPr="00BC593C">
        <w:t>h</w:t>
      </w:r>
      <w:r w:rsidR="00CD38D1" w:rsidRPr="00BC593C">
        <w:t xml:space="preserve">weises anordnet, um einen rechtsmittelfähigen Verwaltungsakt. </w:t>
      </w:r>
    </w:p>
    <w:p w:rsidR="00BC593C" w:rsidRDefault="00BC593C" w:rsidP="00B77741">
      <w:pPr>
        <w:spacing w:before="120" w:after="120" w:line="360" w:lineRule="auto"/>
        <w:jc w:val="both"/>
      </w:pPr>
    </w:p>
    <w:p w:rsidR="00BC593C" w:rsidRDefault="00CD38D1" w:rsidP="00B77741">
      <w:pPr>
        <w:spacing w:before="120" w:after="120" w:line="360" w:lineRule="auto"/>
        <w:jc w:val="both"/>
      </w:pPr>
      <w:r>
        <w:t>2</w:t>
      </w:r>
      <w:r w:rsidR="00BC593C">
        <w:t>.</w:t>
      </w:r>
    </w:p>
    <w:p w:rsidR="0092056E" w:rsidRDefault="00B77741" w:rsidP="00B77741">
      <w:pPr>
        <w:spacing w:before="120" w:after="120" w:line="360" w:lineRule="auto"/>
        <w:jc w:val="both"/>
      </w:pPr>
      <w:r>
        <w:t>Ich betrachte die gesetzlichen Regelungen zur einrichtungsbezogenen Impfpflicht nach §20a IfSG als verfassungswidrig. Ich nehme hierzu Bezug auf das verfassungsrechtliche Gutac</w:t>
      </w:r>
      <w:r>
        <w:t>h</w:t>
      </w:r>
      <w:r>
        <w:t xml:space="preserve">ten von </w:t>
      </w:r>
      <w:r w:rsidR="00A77625" w:rsidRPr="00A77625">
        <w:t xml:space="preserve">Prof. Dr. jur. habil. Dr. </w:t>
      </w:r>
      <w:proofErr w:type="spellStart"/>
      <w:r w:rsidR="00A77625" w:rsidRPr="00A77625">
        <w:t>rer</w:t>
      </w:r>
      <w:proofErr w:type="spellEnd"/>
      <w:r w:rsidR="00A77625" w:rsidRPr="00A77625">
        <w:t>. nat. Volker Boehme-</w:t>
      </w:r>
      <w:proofErr w:type="spellStart"/>
      <w:r w:rsidR="00A77625" w:rsidRPr="00A77625">
        <w:t>Neßler</w:t>
      </w:r>
      <w:proofErr w:type="spellEnd"/>
      <w:r w:rsidR="00A77625" w:rsidRPr="00A77625">
        <w:t>, Lehrstuhl für Öffentliches Recht an der Carl von Os</w:t>
      </w:r>
      <w:r w:rsidR="00A77625">
        <w:t>sietzky Universität Oldenburg</w:t>
      </w:r>
      <w:r>
        <w:t xml:space="preserve">. Das Gutachten ist hier abrufbar: </w:t>
      </w:r>
    </w:p>
    <w:p w:rsidR="0092056E" w:rsidRPr="0092056E" w:rsidRDefault="00C73695" w:rsidP="00B77741">
      <w:pPr>
        <w:spacing w:before="120" w:after="120" w:line="360" w:lineRule="auto"/>
        <w:jc w:val="both"/>
        <w:rPr>
          <w:sz w:val="16"/>
          <w:szCs w:val="16"/>
        </w:rPr>
      </w:pPr>
      <w:hyperlink r:id="rId8" w:history="1">
        <w:r w:rsidR="0092056E" w:rsidRPr="0092056E">
          <w:rPr>
            <w:rStyle w:val="Hyperlink"/>
            <w:sz w:val="16"/>
            <w:szCs w:val="16"/>
          </w:rPr>
          <w:t>https://individuelle-impfentscheidung.de/fileadmin/Downloads/Rechtsgutachten_einrichtungsbezogene_Impfpflicht.pdf</w:t>
        </w:r>
      </w:hyperlink>
    </w:p>
    <w:p w:rsidR="00A663B6" w:rsidRDefault="00B77741" w:rsidP="00B77741">
      <w:pPr>
        <w:spacing w:before="120" w:after="120" w:line="360" w:lineRule="auto"/>
        <w:jc w:val="both"/>
      </w:pPr>
      <w:r>
        <w:t>Die Darstellung in diesem verfassungsrecht</w:t>
      </w:r>
      <w:r w:rsidR="00A663B6">
        <w:t>lichen Gutachten mache ich voll</w:t>
      </w:r>
      <w:r>
        <w:t>umfänglich zum Gegenstand meiner Begründung</w:t>
      </w:r>
      <w:r w:rsidR="00A663B6">
        <w:t xml:space="preserve"> dieses Widerspruchs. </w:t>
      </w:r>
    </w:p>
    <w:p w:rsidR="00BC593C" w:rsidRDefault="00BC593C" w:rsidP="00B77741">
      <w:pPr>
        <w:spacing w:before="120" w:after="120" w:line="360" w:lineRule="auto"/>
        <w:jc w:val="both"/>
      </w:pPr>
    </w:p>
    <w:p w:rsidR="00BC593C" w:rsidRDefault="00CD38D1" w:rsidP="00B77741">
      <w:pPr>
        <w:spacing w:before="120" w:after="120" w:line="360" w:lineRule="auto"/>
        <w:jc w:val="both"/>
      </w:pPr>
      <w:r>
        <w:t>3.</w:t>
      </w:r>
    </w:p>
    <w:p w:rsidR="00BC593C" w:rsidRPr="00637372" w:rsidRDefault="00BC593C" w:rsidP="00BC593C">
      <w:pPr>
        <w:spacing w:before="120" w:after="120" w:line="360" w:lineRule="auto"/>
        <w:jc w:val="both"/>
        <w:rPr>
          <w:b/>
        </w:rPr>
      </w:pPr>
      <w:r w:rsidRPr="00637372">
        <w:rPr>
          <w:b/>
        </w:rPr>
        <w:t xml:space="preserve">Zum Beschluss des Bundesverfassungsgerichts vom 27.04.2022 zu Az. </w:t>
      </w:r>
      <w:hyperlink r:id="rId9" w:history="1">
        <w:r w:rsidRPr="00637372">
          <w:rPr>
            <w:rStyle w:val="Hyperlink"/>
            <w:b/>
            <w:color w:val="auto"/>
            <w:u w:val="none"/>
          </w:rPr>
          <w:t xml:space="preserve">1 </w:t>
        </w:r>
        <w:proofErr w:type="spellStart"/>
        <w:r w:rsidRPr="00637372">
          <w:rPr>
            <w:rStyle w:val="Hyperlink"/>
            <w:b/>
            <w:color w:val="auto"/>
            <w:u w:val="none"/>
          </w:rPr>
          <w:t>BvR</w:t>
        </w:r>
        <w:proofErr w:type="spellEnd"/>
        <w:r w:rsidRPr="00637372">
          <w:rPr>
            <w:rStyle w:val="Hyperlink"/>
            <w:b/>
            <w:color w:val="auto"/>
            <w:u w:val="none"/>
          </w:rPr>
          <w:t xml:space="preserve"> 2649/21</w:t>
        </w:r>
      </w:hyperlink>
      <w:r w:rsidRPr="00637372">
        <w:rPr>
          <w:b/>
        </w:rPr>
        <w:t xml:space="preserve">: </w:t>
      </w:r>
    </w:p>
    <w:p w:rsidR="00BC593C" w:rsidRPr="00BC593C" w:rsidRDefault="00BC593C" w:rsidP="00BC593C">
      <w:pPr>
        <w:spacing w:before="120" w:after="120" w:line="360" w:lineRule="auto"/>
        <w:jc w:val="both"/>
      </w:pPr>
      <w:r w:rsidRPr="00BC593C">
        <w:t>Zwar hat das Bundesverfassungs</w:t>
      </w:r>
      <w:r w:rsidR="00316C57">
        <w:t>gericht mit Beschluss vom 27.04</w:t>
      </w:r>
      <w:r w:rsidRPr="00BC593C">
        <w:t xml:space="preserve">.2022 eine erste </w:t>
      </w:r>
      <w:proofErr w:type="spellStart"/>
      <w:r w:rsidRPr="00BC593C">
        <w:t>Verfas-sungsbeschwerde</w:t>
      </w:r>
      <w:proofErr w:type="spellEnd"/>
      <w:r w:rsidRPr="00BC593C">
        <w:t xml:space="preserve"> gegen die einrichtungsbezogene Impf- und Nachweispflicht abgewiesen. </w:t>
      </w:r>
    </w:p>
    <w:p w:rsidR="00BC593C" w:rsidRPr="00BC593C" w:rsidRDefault="00BC593C" w:rsidP="00BC593C">
      <w:pPr>
        <w:spacing w:before="120" w:after="120" w:line="360" w:lineRule="auto"/>
        <w:jc w:val="both"/>
      </w:pPr>
      <w:r w:rsidRPr="00BC593C">
        <w:t xml:space="preserve">Es sind jedoch noch </w:t>
      </w:r>
      <w:r w:rsidR="002A1A36">
        <w:t xml:space="preserve">ca. 40 </w:t>
      </w:r>
      <w:r w:rsidRPr="00BC593C">
        <w:t>weitere Verfassungsbeschwerden zur einrichtungsbezogenen Impf- und Nachweispflicht beim Bundesverfassungsgericht anhängig, über di</w:t>
      </w:r>
      <w:r w:rsidR="00316C57">
        <w:t>e noch nicht entschieden wurde (</w:t>
      </w:r>
      <w:r w:rsidR="002A1A36">
        <w:t xml:space="preserve">darunter die vom Verein „Ärztinnen und </w:t>
      </w:r>
      <w:r w:rsidR="005F3799">
        <w:t>Ärzte für individuel</w:t>
      </w:r>
      <w:r w:rsidR="002A1A36">
        <w:t>le Impfen</w:t>
      </w:r>
      <w:r w:rsidR="002A1A36">
        <w:t>t</w:t>
      </w:r>
      <w:r w:rsidR="002A1A36">
        <w:t>scheidung e.V.“ auch fachlich unterstützte</w:t>
      </w:r>
      <w:r w:rsidR="00316C57">
        <w:t xml:space="preserve"> Verfassungsbeschwerde unter </w:t>
      </w:r>
      <w:r w:rsidR="00316C57" w:rsidRPr="00316C57">
        <w:t xml:space="preserve">Aktenzeichen 1 </w:t>
      </w:r>
      <w:proofErr w:type="spellStart"/>
      <w:r w:rsidR="00316C57" w:rsidRPr="00316C57">
        <w:t>BvR</w:t>
      </w:r>
      <w:proofErr w:type="spellEnd"/>
      <w:r w:rsidR="00316C57" w:rsidRPr="00316C57">
        <w:t xml:space="preserve"> 304/22)</w:t>
      </w:r>
    </w:p>
    <w:p w:rsidR="00BC593C" w:rsidRPr="00BC593C" w:rsidRDefault="00BC593C" w:rsidP="00BC593C">
      <w:pPr>
        <w:spacing w:before="120" w:after="120" w:line="360" w:lineRule="auto"/>
        <w:jc w:val="both"/>
      </w:pPr>
      <w:r w:rsidRPr="00BC593C">
        <w:t>Durch den Beschluss des Bundesverfassungsgerichts vom 27.04.2022 sind nicht alle Ei</w:t>
      </w:r>
      <w:r w:rsidRPr="00BC593C">
        <w:t>n</w:t>
      </w:r>
      <w:r w:rsidRPr="00BC593C">
        <w:t>wände gegen die einrichtungsbezogene Impfpflicht entkräftet. Mit durchaus zentralen Ei</w:t>
      </w:r>
      <w:r w:rsidRPr="00BC593C">
        <w:t>n</w:t>
      </w:r>
      <w:r w:rsidRPr="00BC593C">
        <w:t xml:space="preserve">wänden hat sich das Bundesverfassungsgericht bislang nicht befasst und sich nicht dazu geäußert. </w:t>
      </w:r>
    </w:p>
    <w:p w:rsidR="00BC593C" w:rsidRPr="00BC593C" w:rsidRDefault="005F3799" w:rsidP="00BC593C">
      <w:pPr>
        <w:spacing w:before="120" w:after="120" w:line="360" w:lineRule="auto"/>
        <w:jc w:val="both"/>
      </w:pPr>
      <w:r>
        <w:t>So hat das Bundesverfassungsgericht</w:t>
      </w:r>
      <w:r w:rsidR="00BC593C" w:rsidRPr="00BC593C">
        <w:t xml:space="preserve"> in dem Verfahren 1 </w:t>
      </w:r>
      <w:proofErr w:type="spellStart"/>
      <w:r w:rsidR="00BC593C" w:rsidRPr="00BC593C">
        <w:t>BvR</w:t>
      </w:r>
      <w:proofErr w:type="spellEnd"/>
      <w:r w:rsidR="00BC593C" w:rsidRPr="00BC593C">
        <w:t xml:space="preserve"> 2649/21 keine Verletzung des Art. 3 </w:t>
      </w:r>
      <w:r w:rsidR="00D17A7B">
        <w:t xml:space="preserve">Abs. 1 </w:t>
      </w:r>
      <w:r w:rsidR="00BC593C" w:rsidRPr="00BC593C">
        <w:t>Grundgesetz (allgemeiner Gleichheitssatz) geprüft.</w:t>
      </w:r>
      <w:r w:rsidR="002A1A36">
        <w:t xml:space="preserve"> </w:t>
      </w:r>
    </w:p>
    <w:p w:rsidR="00D17A7B" w:rsidRDefault="00BC593C" w:rsidP="00BC593C">
      <w:pPr>
        <w:spacing w:before="120" w:after="120" w:line="360" w:lineRule="auto"/>
        <w:jc w:val="both"/>
      </w:pPr>
      <w:r w:rsidRPr="00BC593C">
        <w:t>Auch hat sich</w:t>
      </w:r>
      <w:r w:rsidR="005F3799">
        <w:t xml:space="preserve"> das Bundesverfassungsgericht</w:t>
      </w:r>
      <w:r w:rsidRPr="00BC593C">
        <w:t xml:space="preserve"> bislang einer abschließenden Bewertung en</w:t>
      </w:r>
      <w:r w:rsidRPr="00BC593C">
        <w:t>t</w:t>
      </w:r>
      <w:r w:rsidRPr="00BC593C">
        <w:t xml:space="preserve">halten, ob die vom Gesetzgeber zunächst </w:t>
      </w:r>
      <w:r w:rsidR="005F3799">
        <w:t xml:space="preserve">in § 20a Abs. IfSG a.F. </w:t>
      </w:r>
      <w:r w:rsidRPr="00BC593C">
        <w:t xml:space="preserve">gewählte Technik der sog. doppelten dynamischen Verweisung zur Regelung des Impfnachweises und den </w:t>
      </w:r>
      <w:proofErr w:type="spellStart"/>
      <w:r w:rsidRPr="00BC593C">
        <w:t>Genes</w:t>
      </w:r>
      <w:r w:rsidRPr="00BC593C">
        <w:t>e</w:t>
      </w:r>
      <w:r w:rsidRPr="00BC593C">
        <w:t>nennachweises</w:t>
      </w:r>
      <w:proofErr w:type="spellEnd"/>
      <w:r w:rsidRPr="00BC593C">
        <w:t xml:space="preserve"> nun verfassungswidrig war oder nicht. Damit hat das BVerfG bislang den Umstand nicht berücksichtigt, dass der Gesetzgeber die monierte Regelung erst zum </w:t>
      </w:r>
      <w:r w:rsidRPr="00BC593C">
        <w:lastRenderedPageBreak/>
        <w:t xml:space="preserve">19.03.2022 und damit nach der  Scharfschaltung der einrichtungsbezogenen Impfpflicht zum 15.03.2022 geändert hat. </w:t>
      </w:r>
    </w:p>
    <w:p w:rsidR="005F3799" w:rsidRDefault="00BC593C" w:rsidP="00BC593C">
      <w:pPr>
        <w:spacing w:before="120" w:after="120" w:line="360" w:lineRule="auto"/>
        <w:jc w:val="both"/>
      </w:pPr>
      <w:r w:rsidRPr="00BC593C">
        <w:t xml:space="preserve">Die Verfassungswidrigkeit der ursprünglichen Regelungen zum Impfnachweis und zum </w:t>
      </w:r>
      <w:proofErr w:type="spellStart"/>
      <w:r w:rsidRPr="00BC593C">
        <w:t>G</w:t>
      </w:r>
      <w:r w:rsidRPr="00BC593C">
        <w:t>e</w:t>
      </w:r>
      <w:r w:rsidRPr="00BC593C">
        <w:t>nesenennachweis</w:t>
      </w:r>
      <w:proofErr w:type="spellEnd"/>
      <w:r w:rsidRPr="00BC593C">
        <w:t xml:space="preserve"> unterstellt, bestand damit zum 15.03.2022 gar keine wirksame Nachwei</w:t>
      </w:r>
      <w:r w:rsidRPr="00BC593C">
        <w:t>s</w:t>
      </w:r>
      <w:r w:rsidRPr="00BC593C">
        <w:t>pflicht. Damit erfolgte auch die Meldung des Umstandes der Nichterfüllung der Nachwei</w:t>
      </w:r>
      <w:r w:rsidRPr="00BC593C">
        <w:t>s</w:t>
      </w:r>
      <w:r w:rsidRPr="00BC593C">
        <w:t xml:space="preserve">pflicht zum maßgeblichen Stichtag des 15.03.2022 </w:t>
      </w:r>
      <w:r w:rsidR="005F3799">
        <w:t xml:space="preserve">durch die Einrichtungsleitung </w:t>
      </w:r>
      <w:r w:rsidRPr="00BC593C">
        <w:t>an das G</w:t>
      </w:r>
      <w:r w:rsidRPr="00BC593C">
        <w:t>e</w:t>
      </w:r>
      <w:r w:rsidRPr="00BC593C">
        <w:t xml:space="preserve">sundheitsamt ohne Rechtsgrundlage. </w:t>
      </w:r>
    </w:p>
    <w:p w:rsidR="00BC593C" w:rsidRPr="00BC593C" w:rsidRDefault="00BC593C" w:rsidP="00BC593C">
      <w:pPr>
        <w:spacing w:before="120" w:after="120" w:line="360" w:lineRule="auto"/>
        <w:jc w:val="both"/>
      </w:pPr>
      <w:r w:rsidRPr="00BC593C">
        <w:t xml:space="preserve">Auch ist die aktuelle Fassung des § 20a IfSG deshalb verfassungswidrig, weil das </w:t>
      </w:r>
      <w:r w:rsidR="005F3799">
        <w:t>„</w:t>
      </w:r>
      <w:r w:rsidRPr="00BC593C">
        <w:t>Gesetz zur Änderung des §20a IfSG und zur Einfügung des § 22a IfSG (Impf-, Genesenen und Testnachweis bei COVID-19; COVID-19-Zertifikate; Verordnungsermächtigung)</w:t>
      </w:r>
      <w:r w:rsidR="005F3799">
        <w:t>“</w:t>
      </w:r>
      <w:r w:rsidRPr="00BC593C">
        <w:t xml:space="preserve"> keine e</w:t>
      </w:r>
      <w:r w:rsidRPr="00BC593C">
        <w:t>r</w:t>
      </w:r>
      <w:r w:rsidRPr="00BC593C">
        <w:t>neute Übergangsregelung vorgesehe</w:t>
      </w:r>
      <w:r w:rsidR="005F3799">
        <w:t>n hat. Geht man – wie das Bundesverfassungsgericht</w:t>
      </w:r>
      <w:r w:rsidRPr="00BC593C">
        <w:t xml:space="preserve"> im Beschluss vom 11.02.2022 andeutet – von der Verfassungswidrigkeit der ursprünglichen Regelung zum Impf- und </w:t>
      </w:r>
      <w:proofErr w:type="spellStart"/>
      <w:r w:rsidRPr="00BC593C">
        <w:t>Genesenennachweis</w:t>
      </w:r>
      <w:proofErr w:type="spellEnd"/>
      <w:r w:rsidRPr="00BC593C">
        <w:t xml:space="preserve"> aus, wären die Betroffenen mit Inkra</w:t>
      </w:r>
      <w:r w:rsidR="00637372">
        <w:t>f</w:t>
      </w:r>
      <w:r w:rsidRPr="00BC593C">
        <w:t xml:space="preserve">ttreten der Neuregelung </w:t>
      </w:r>
      <w:r w:rsidR="005F3799">
        <w:t xml:space="preserve">am 19.03.2022 </w:t>
      </w:r>
      <w:r w:rsidRPr="00BC593C">
        <w:t>von einem auf den anderen Tag verpflichtet gewesen, e</w:t>
      </w:r>
      <w:r w:rsidRPr="00BC593C">
        <w:t>i</w:t>
      </w:r>
      <w:r w:rsidRPr="00BC593C">
        <w:t xml:space="preserve">nen Impf- oder sonstigen Nachweis vorweisen zu können.  Dies stellt eine </w:t>
      </w:r>
      <w:r w:rsidR="005F3799">
        <w:t>grundrechtsrel</w:t>
      </w:r>
      <w:r w:rsidR="005F3799">
        <w:t>e</w:t>
      </w:r>
      <w:r w:rsidR="005F3799">
        <w:t xml:space="preserve">vante </w:t>
      </w:r>
      <w:r w:rsidRPr="00BC593C">
        <w:t xml:space="preserve">Verletzung des </w:t>
      </w:r>
      <w:r w:rsidR="005F3799">
        <w:t xml:space="preserve">Grundsatzes des Vertrauensschutzes </w:t>
      </w:r>
      <w:r w:rsidRPr="00BC593C">
        <w:t xml:space="preserve">dar. </w:t>
      </w:r>
    </w:p>
    <w:p w:rsidR="00BC593C" w:rsidRPr="00BC593C" w:rsidRDefault="00BC593C" w:rsidP="00BC593C">
      <w:pPr>
        <w:spacing w:before="120" w:after="120" w:line="360" w:lineRule="auto"/>
        <w:jc w:val="both"/>
      </w:pPr>
      <w:r w:rsidRPr="00BC593C">
        <w:t xml:space="preserve">Außerdem </w:t>
      </w:r>
      <w:proofErr w:type="spellStart"/>
      <w:r w:rsidRPr="00BC593C">
        <w:t>heisst</w:t>
      </w:r>
      <w:proofErr w:type="spellEnd"/>
      <w:r w:rsidRPr="00BC593C">
        <w:t xml:space="preserve"> es in dem Beschluss </w:t>
      </w:r>
      <w:r w:rsidR="005F3799">
        <w:t xml:space="preserve">des Bundesverfassungsgerichts </w:t>
      </w:r>
      <w:r w:rsidRPr="00BC593C">
        <w:t>vom 27.04.2022 u</w:t>
      </w:r>
      <w:r w:rsidRPr="00BC593C">
        <w:t>n</w:t>
      </w:r>
      <w:r w:rsidRPr="00BC593C">
        <w:t>ter</w:t>
      </w:r>
      <w:r w:rsidR="00CD38D1">
        <w:t xml:space="preserve"> </w:t>
      </w:r>
      <w:proofErr w:type="spellStart"/>
      <w:r w:rsidR="00CD38D1">
        <w:t>Rn</w:t>
      </w:r>
      <w:proofErr w:type="spellEnd"/>
      <w:r w:rsidR="00CD38D1">
        <w:t xml:space="preserve"> 167:</w:t>
      </w:r>
      <w:r w:rsidRPr="00BC593C">
        <w:t xml:space="preserve"> </w:t>
      </w:r>
    </w:p>
    <w:p w:rsidR="00BC593C" w:rsidRPr="00BC593C" w:rsidRDefault="00BC593C" w:rsidP="00BC593C">
      <w:pPr>
        <w:spacing w:before="120" w:after="120" w:line="360" w:lineRule="auto"/>
        <w:jc w:val="both"/>
        <w:rPr>
          <w:i/>
        </w:rPr>
      </w:pPr>
      <w:r w:rsidRPr="00BC593C">
        <w:rPr>
          <w:i/>
        </w:rPr>
        <w:t xml:space="preserve">„Allerdings kann eine zunächst verfassungskonforme Regelung später mit Wirkung für die Zukunft verfassungswidrig werden, wenn ursprüngliche Annahmen des Gesetzgebers nicht mehr tragen (BVerfG, Beschluss des Ersten Senats vom 19. November 2021 - 1 </w:t>
      </w:r>
      <w:proofErr w:type="spellStart"/>
      <w:r w:rsidRPr="00BC593C">
        <w:rPr>
          <w:i/>
        </w:rPr>
        <w:t>BvR</w:t>
      </w:r>
      <w:proofErr w:type="spellEnd"/>
      <w:r w:rsidRPr="00BC593C">
        <w:rPr>
          <w:i/>
        </w:rPr>
        <w:t xml:space="preserve"> 781/21 u.a. -, </w:t>
      </w:r>
      <w:proofErr w:type="spellStart"/>
      <w:r w:rsidRPr="00BC593C">
        <w:rPr>
          <w:i/>
        </w:rPr>
        <w:t>Rn</w:t>
      </w:r>
      <w:proofErr w:type="spellEnd"/>
      <w:r w:rsidRPr="00BC593C">
        <w:rPr>
          <w:i/>
        </w:rPr>
        <w:t xml:space="preserve">. 186 </w:t>
      </w:r>
      <w:proofErr w:type="spellStart"/>
      <w:r w:rsidRPr="00BC593C">
        <w:rPr>
          <w:i/>
        </w:rPr>
        <w:t>m.w.N</w:t>
      </w:r>
      <w:proofErr w:type="spellEnd"/>
      <w:r w:rsidRPr="00BC593C">
        <w:rPr>
          <w:i/>
        </w:rPr>
        <w:t>.)“</w:t>
      </w:r>
    </w:p>
    <w:p w:rsidR="00BC593C" w:rsidRDefault="00BC593C" w:rsidP="00BC593C">
      <w:pPr>
        <w:spacing w:before="120" w:after="120" w:line="360" w:lineRule="auto"/>
        <w:jc w:val="both"/>
      </w:pPr>
      <w:r w:rsidRPr="00BC593C">
        <w:t xml:space="preserve">So ist es auch hier: Wesentliche Aussagen </w:t>
      </w:r>
      <w:r w:rsidR="005F3799">
        <w:t>des RKI; auf die sich das Bundesverfassungsg</w:t>
      </w:r>
      <w:r w:rsidR="005F3799">
        <w:t>e</w:t>
      </w:r>
      <w:r w:rsidR="005F3799">
        <w:t>richt</w:t>
      </w:r>
      <w:r w:rsidRPr="00BC593C">
        <w:t xml:space="preserve"> in seinem auf den 27.04.2022 datierenden Beschluss stützt, hält das RKI aktuell nicht mehr aufrecht. </w:t>
      </w:r>
    </w:p>
    <w:p w:rsidR="00D17A7B" w:rsidRPr="00D17A7B" w:rsidRDefault="00D17A7B" w:rsidP="00D17A7B">
      <w:pPr>
        <w:spacing w:before="120" w:after="120" w:line="360" w:lineRule="auto"/>
        <w:jc w:val="both"/>
      </w:pPr>
      <w:r w:rsidRPr="00D17A7B">
        <w:t>Die einrichtungsbezogene Impfpflicht kann allenfalls dann gerechtfertigt sein, wenn die Im</w:t>
      </w:r>
      <w:r w:rsidRPr="00D17A7B">
        <w:t>p</w:t>
      </w:r>
      <w:r w:rsidRPr="00D17A7B">
        <w:t>fung Fremdschutz vermittelt, denn Ziel der Pflicht ist der Schutz sog. vulnerabler Menschen vor Infektionen. Dieser Schutz durch Impfung der Mitarbeiter erscheint deshalb als notwe</w:t>
      </w:r>
      <w:r w:rsidRPr="00D17A7B">
        <w:t>n</w:t>
      </w:r>
      <w:r w:rsidRPr="00D17A7B">
        <w:t>dig, weil vulnerable Personen auf die Impfung nicht oder weniger gut ansprechen und diese ihnen deshalb keinen ausreichenden Eigenschutz vermitteln kann, wie das Gericht mehrfach betont (</w:t>
      </w:r>
      <w:proofErr w:type="spellStart"/>
      <w:r w:rsidRPr="00D17A7B">
        <w:t>Rn</w:t>
      </w:r>
      <w:proofErr w:type="spellEnd"/>
      <w:r w:rsidRPr="00D17A7B">
        <w:t>. 154, 199). Das Gericht hatte bislang keinen ernsthaften Zweifel daran gehegt, dass die Impfung einen relevanten Fremdschutz vermittelt. Für seine Einschätzung stützt es sich dabei auf Stellungnahmen sachkundiger Dritter (§ 27a BVerfGG), die spätestens zum 02.02.2022 dem Gericht übersandt werden mussten, so dass die Entwicklung von Anfang Februar bis zur Entscheidung am 27.04.2022 darin nicht berücksichtigt werden konnte, s</w:t>
      </w:r>
      <w:r w:rsidRPr="00D17A7B">
        <w:t>o</w:t>
      </w:r>
      <w:r w:rsidRPr="00D17A7B">
        <w:t>wie auf wenige, später veröffentlichte Daten des Robert Koch-Instituts.</w:t>
      </w:r>
    </w:p>
    <w:p w:rsidR="00D17A7B" w:rsidRPr="00D17A7B" w:rsidRDefault="00D17A7B" w:rsidP="00D17A7B">
      <w:pPr>
        <w:spacing w:before="120" w:after="120" w:line="360" w:lineRule="auto"/>
        <w:jc w:val="both"/>
      </w:pPr>
      <w:r w:rsidRPr="00D17A7B">
        <w:lastRenderedPageBreak/>
        <w:t>Am Ende muss für die Auffassung, dass die dem Gesetz zugrundeliegenden Annahmen des Gesetzgebers auch noch zum Entscheidungszeitpunkt des Bundesverfassungsgerichts tra</w:t>
      </w:r>
      <w:r w:rsidRPr="00D17A7B">
        <w:t>g</w:t>
      </w:r>
      <w:r w:rsidRPr="00D17A7B">
        <w:t xml:space="preserve">fähig sind – und darauf kommt es letztlich an – die Risikobewertung des Robert Koch-Instituts im Wochenbericht vom 21.04.2022 herhalten, in der die Infektionsgefährdung für </w:t>
      </w:r>
      <w:proofErr w:type="spellStart"/>
      <w:r w:rsidRPr="00D17A7B">
        <w:t>Ungeimpfte</w:t>
      </w:r>
      <w:proofErr w:type="spellEnd"/>
      <w:r w:rsidRPr="00D17A7B">
        <w:t xml:space="preserve"> als sehr hoch, für die Gruppe der Genesenen und doppelt Geimpften als hoch und für die dreifach Geimpften als moderat eingeschätzt wird (vgl. RN 185 des Beschlusses). </w:t>
      </w:r>
    </w:p>
    <w:p w:rsidR="00D17A7B" w:rsidRPr="00D17A7B" w:rsidRDefault="00D17A7B" w:rsidP="00D17A7B">
      <w:pPr>
        <w:spacing w:before="120" w:after="120" w:line="360" w:lineRule="auto"/>
        <w:jc w:val="both"/>
      </w:pPr>
      <w:r w:rsidRPr="00D17A7B">
        <w:t>Diese Daten haben sich laut RKI inzwischen verändert: Die Infektionsgefahr ist seit mehr</w:t>
      </w:r>
      <w:r w:rsidRPr="00D17A7B">
        <w:t>e</w:t>
      </w:r>
      <w:r w:rsidRPr="00D17A7B">
        <w:t xml:space="preserve">ren Wochen für alle Gruppen gleich (für </w:t>
      </w:r>
      <w:proofErr w:type="spellStart"/>
      <w:r w:rsidRPr="00D17A7B">
        <w:t>Geboosterte</w:t>
      </w:r>
      <w:proofErr w:type="spellEnd"/>
      <w:r w:rsidRPr="00D17A7B">
        <w:t xml:space="preserve"> sogar noch geringfügig höher). Dass die Impfung keinen relevanten Fremdschutz vermittelt, war schon im April keineswegs mehr eine Mindermeinung, was sich auch daran zeigte, dass in der gesellschaftlichen Diskussion und der Debatte im Bundestag zur allgemeinen Impfpflicht das Fremdschutzargument kaum noch bemüht wurde. Die sehr lange Urteilsbegründung </w:t>
      </w:r>
      <w:proofErr w:type="gramStart"/>
      <w:r w:rsidRPr="00D17A7B">
        <w:t>der</w:t>
      </w:r>
      <w:proofErr w:type="gramEnd"/>
      <w:r w:rsidRPr="00D17A7B">
        <w:t xml:space="preserve"> Bundesverfassungsger</w:t>
      </w:r>
      <w:r w:rsidR="00637372">
        <w:t>i</w:t>
      </w:r>
      <w:r w:rsidRPr="00D17A7B">
        <w:t>chts wu</w:t>
      </w:r>
      <w:r w:rsidRPr="00D17A7B">
        <w:t>r</w:t>
      </w:r>
      <w:r w:rsidRPr="00D17A7B">
        <w:t>de mehrere Wochen geschrieben und ist inzwischen veraltet. Sie beruft sich auf Daten und Einschätzung des RKI, die inzwischen vom RKI widerrufen wurden.</w:t>
      </w:r>
    </w:p>
    <w:p w:rsidR="00D17A7B" w:rsidRPr="00D17A7B" w:rsidRDefault="00D17A7B" w:rsidP="00D17A7B">
      <w:pPr>
        <w:spacing w:before="120" w:after="120" w:line="360" w:lineRule="auto"/>
        <w:jc w:val="both"/>
      </w:pPr>
      <w:r w:rsidRPr="00D17A7B">
        <w:t>Im Wochenbericht vom 05.05.2022 (S. 24), also nach dem Beschlussdatum des Bundesve</w:t>
      </w:r>
      <w:r w:rsidRPr="00D17A7B">
        <w:t>r</w:t>
      </w:r>
      <w:r w:rsidRPr="00D17A7B">
        <w:t>fassungsgerichts, hat das RKI dann – mutmaßlich als Reaktion auf diese Entwicklung – mi</w:t>
      </w:r>
      <w:r w:rsidRPr="00D17A7B">
        <w:t>t</w:t>
      </w:r>
      <w:r w:rsidRPr="00D17A7B">
        <w:t xml:space="preserve">geteilt, dass ab sofort keine regelmäßigen Informationen zur Wirkung der COVID-19-Impfung mehr vorgesehen seien. </w:t>
      </w:r>
    </w:p>
    <w:p w:rsidR="00D17A7B" w:rsidRPr="00D17A7B" w:rsidRDefault="00D17A7B" w:rsidP="00D17A7B">
      <w:pPr>
        <w:spacing w:before="120" w:after="120" w:line="360" w:lineRule="auto"/>
        <w:jc w:val="both"/>
      </w:pPr>
      <w:r w:rsidRPr="00D17A7B">
        <w:t xml:space="preserve">Die Differenzierung nach Impfstatus entfällt deshalb laut RKI seit 5.5.2022. "Das Robert Koch-Institut schätzt die Gefährdung durch COVID-19 für die Gesundheit der Bevölkerung in Deutschland insgesamt als hoch ein." (Quelle: RKI Wöchentlicher Lagebericht vom 5.5.2022, Seite 4). </w:t>
      </w:r>
    </w:p>
    <w:p w:rsidR="00D17A7B" w:rsidRPr="00BC593C" w:rsidRDefault="00D17A7B" w:rsidP="00BC593C">
      <w:pPr>
        <w:spacing w:before="120" w:after="120" w:line="360" w:lineRule="auto"/>
        <w:jc w:val="both"/>
      </w:pPr>
      <w:r w:rsidRPr="00D17A7B">
        <w:t>Dieser Satz ersetzt beim RKI seit 5.5.2022 den vom Bundesverfassungsgericht  im B</w:t>
      </w:r>
      <w:r w:rsidRPr="00D17A7B">
        <w:t>e</w:t>
      </w:r>
      <w:r w:rsidRPr="00D17A7B">
        <w:t>schluss zitierten obigen Satz. Von seiner vom Bundesverfassungsgericht noch zitierten Au</w:t>
      </w:r>
      <w:r w:rsidRPr="00D17A7B">
        <w:t>f</w:t>
      </w:r>
      <w:r w:rsidRPr="00D17A7B">
        <w:t xml:space="preserve">fassung einer gestuften Infektionsgefährdung </w:t>
      </w:r>
      <w:proofErr w:type="spellStart"/>
      <w:r w:rsidR="00637372">
        <w:t>U</w:t>
      </w:r>
      <w:r w:rsidRPr="00D17A7B">
        <w:t>ngeimpfter</w:t>
      </w:r>
      <w:proofErr w:type="spellEnd"/>
      <w:r w:rsidRPr="00D17A7B">
        <w:t>, doppelt Geimpfter bzw. Genes</w:t>
      </w:r>
      <w:r w:rsidRPr="00D17A7B">
        <w:t>e</w:t>
      </w:r>
      <w:r w:rsidRPr="00D17A7B">
        <w:t xml:space="preserve">ner und dreifach Geimpfter hat sich das RKI also spätestens mit dem Wochenbericht des RKI vom 05.05.2022 verabschiedet. </w:t>
      </w:r>
    </w:p>
    <w:p w:rsidR="00BC593C" w:rsidRDefault="00BC593C" w:rsidP="00BC593C">
      <w:pPr>
        <w:spacing w:before="120" w:after="120" w:line="360" w:lineRule="auto"/>
        <w:jc w:val="both"/>
      </w:pPr>
      <w:r w:rsidRPr="00BC593C">
        <w:t xml:space="preserve">Wesentliche Annahmen des Gesetzgebers und auch des Bundesverfassungsgerichts sind damit auf Basis aktueller Erkenntnisse nicht mehr tragfähig. </w:t>
      </w:r>
    </w:p>
    <w:p w:rsidR="006152D8" w:rsidRDefault="006152D8" w:rsidP="00BC593C">
      <w:pPr>
        <w:spacing w:before="120" w:after="120" w:line="360" w:lineRule="auto"/>
        <w:jc w:val="both"/>
      </w:pPr>
      <w:r>
        <w:t>Ich verweise ferner auf die kritischen juristischen Kommentare zum Beschluss des Bunde</w:t>
      </w:r>
      <w:r>
        <w:t>s</w:t>
      </w:r>
      <w:r>
        <w:t xml:space="preserve">verfassungsgerichts vom 27.04.2022: </w:t>
      </w:r>
    </w:p>
    <w:p w:rsidR="006152D8" w:rsidRDefault="006152D8" w:rsidP="00BC593C">
      <w:pPr>
        <w:spacing w:before="120" w:after="120" w:line="360" w:lineRule="auto"/>
        <w:jc w:val="both"/>
      </w:pPr>
      <w:r>
        <w:t xml:space="preserve">Prof. Stephan </w:t>
      </w:r>
      <w:proofErr w:type="spellStart"/>
      <w:r>
        <w:t>Rixen</w:t>
      </w:r>
      <w:proofErr w:type="spellEnd"/>
      <w:r>
        <w:t>: Abschied von der Verhältnismäßigkeit? - Verfa</w:t>
      </w:r>
      <w:r w:rsidR="00637372">
        <w:t>s</w:t>
      </w:r>
      <w:r>
        <w:t>sungsblog vom 25.05.2022</w:t>
      </w:r>
    </w:p>
    <w:p w:rsidR="006152D8" w:rsidRDefault="006152D8" w:rsidP="00BC593C">
      <w:pPr>
        <w:spacing w:before="120" w:after="120" w:line="360" w:lineRule="auto"/>
        <w:jc w:val="both"/>
      </w:pPr>
      <w:hyperlink r:id="rId10" w:history="1">
        <w:r w:rsidRPr="00DE5559">
          <w:rPr>
            <w:rStyle w:val="Hyperlink"/>
          </w:rPr>
          <w:t>https://verfassungsblog.de/abschied-von-der-verhaltnismasigkeit/</w:t>
        </w:r>
      </w:hyperlink>
    </w:p>
    <w:p w:rsidR="006152D8" w:rsidRDefault="006152D8" w:rsidP="00BC593C">
      <w:pPr>
        <w:spacing w:before="120" w:after="120" w:line="360" w:lineRule="auto"/>
        <w:jc w:val="both"/>
      </w:pPr>
      <w:r>
        <w:lastRenderedPageBreak/>
        <w:t xml:space="preserve">Dr. W. Zimmermann: </w:t>
      </w:r>
      <w:r w:rsidRPr="006152D8">
        <w:t>BVerfG zur einrichtung</w:t>
      </w:r>
      <w:r>
        <w:t>sbezogenen Impfpflicht Mehr Differenzie</w:t>
      </w:r>
      <w:r w:rsidRPr="006152D8">
        <w:t>rung wagen</w:t>
      </w:r>
      <w:r>
        <w:t xml:space="preserve"> -  Legal </w:t>
      </w:r>
      <w:proofErr w:type="spellStart"/>
      <w:r>
        <w:t>Tribune</w:t>
      </w:r>
      <w:proofErr w:type="spellEnd"/>
      <w:r>
        <w:t xml:space="preserve"> Online vom 20.05.2022</w:t>
      </w:r>
    </w:p>
    <w:p w:rsidR="006152D8" w:rsidRDefault="006152D8" w:rsidP="00BC593C">
      <w:pPr>
        <w:spacing w:before="120" w:after="120" w:line="360" w:lineRule="auto"/>
        <w:jc w:val="both"/>
      </w:pPr>
      <w:hyperlink r:id="rId11" w:history="1">
        <w:r w:rsidRPr="00DE5559">
          <w:rPr>
            <w:rStyle w:val="Hyperlink"/>
          </w:rPr>
          <w:t>https://www.lto.de/recht/nachrichten/n/einrichtungsbezogene-impfpflicht-corona-bverfg-1-bvr-2649-21/</w:t>
        </w:r>
      </w:hyperlink>
    </w:p>
    <w:p w:rsidR="006152D8" w:rsidRPr="00BC593C" w:rsidRDefault="006152D8" w:rsidP="00BC593C">
      <w:pPr>
        <w:spacing w:before="120" w:after="120" w:line="360" w:lineRule="auto"/>
        <w:jc w:val="both"/>
      </w:pPr>
    </w:p>
    <w:p w:rsidR="00BC593C" w:rsidRPr="00BC593C" w:rsidRDefault="00BC593C" w:rsidP="00BC593C">
      <w:pPr>
        <w:spacing w:before="120" w:after="120" w:line="360" w:lineRule="auto"/>
        <w:jc w:val="both"/>
      </w:pPr>
      <w:r w:rsidRPr="00BC593C">
        <w:t xml:space="preserve">Durchaus weiterhin offen und unentschieden ist damit die Frage, ob auch aus aktueller </w:t>
      </w:r>
      <w:r w:rsidR="006152D8">
        <w:t>he</w:t>
      </w:r>
      <w:r w:rsidR="006152D8">
        <w:t>u</w:t>
      </w:r>
      <w:r w:rsidR="006152D8">
        <w:t xml:space="preserve">tiger </w:t>
      </w:r>
      <w:r w:rsidRPr="00BC593C">
        <w:t xml:space="preserve">Sicht die Regelungen zur einrichtungsbezogenen Impfpflicht in § 20a IfSG weiterhin gerechtfertigt </w:t>
      </w:r>
      <w:r w:rsidR="006152D8">
        <w:t xml:space="preserve">und zumutbar </w:t>
      </w:r>
      <w:r w:rsidRPr="00BC593C">
        <w:t xml:space="preserve">sind oder </w:t>
      </w:r>
      <w:r w:rsidR="00D17A7B">
        <w:t xml:space="preserve">ob diese </w:t>
      </w:r>
      <w:r w:rsidRPr="00BC593C">
        <w:t>mittlerweile wegen Verletzung insbesondere der Grundrechte der körperlichen Unversehrtheit (Art. 2 Abs. 2 GG), des allgemeinen Pe</w:t>
      </w:r>
      <w:r w:rsidRPr="00BC593C">
        <w:t>r</w:t>
      </w:r>
      <w:r w:rsidRPr="00BC593C">
        <w:t xml:space="preserve">sönlichkeitsrechts (Art. 2 Abs. 1 GG </w:t>
      </w:r>
      <w:proofErr w:type="spellStart"/>
      <w:r w:rsidRPr="00BC593C">
        <w:t>i.V.m</w:t>
      </w:r>
      <w:proofErr w:type="spellEnd"/>
      <w:r w:rsidRPr="00BC593C">
        <w:t>. Art. 1 GG) und der Berufsfreiheit (Art. 12 GG) verfassungswidrig geworden sind</w:t>
      </w:r>
      <w:r w:rsidR="006152D8">
        <w:t xml:space="preserve">. </w:t>
      </w:r>
      <w:r w:rsidR="00D17A7B" w:rsidRPr="00D17A7B">
        <w:t>Denn die diesbezügliche Entscheidung des BVerfG vom 27.04.2022 basiert in wesentlichen Punkten nicht mehr auf dem aktuellen Wissens- und E</w:t>
      </w:r>
      <w:r w:rsidR="00D17A7B" w:rsidRPr="00D17A7B">
        <w:t>r</w:t>
      </w:r>
      <w:r w:rsidR="00D17A7B" w:rsidRPr="00D17A7B">
        <w:t>kenntnisstand von RKI und Fachwelt.</w:t>
      </w:r>
      <w:r w:rsidR="006152D8">
        <w:t xml:space="preserve"> </w:t>
      </w:r>
    </w:p>
    <w:p w:rsidR="00CD38D1" w:rsidRDefault="00CD38D1" w:rsidP="00BC593C">
      <w:pPr>
        <w:spacing w:before="120" w:after="120" w:line="360" w:lineRule="auto"/>
        <w:jc w:val="both"/>
      </w:pPr>
    </w:p>
    <w:p w:rsidR="00CD38D1" w:rsidRPr="00316C57" w:rsidRDefault="00CD38D1" w:rsidP="00BC593C">
      <w:pPr>
        <w:spacing w:before="120" w:after="120" w:line="360" w:lineRule="auto"/>
        <w:jc w:val="both"/>
        <w:rPr>
          <w:b/>
        </w:rPr>
      </w:pPr>
      <w:r w:rsidRPr="00316C57">
        <w:rPr>
          <w:b/>
        </w:rPr>
        <w:t xml:space="preserve">4. </w:t>
      </w:r>
      <w:r w:rsidR="00316C57" w:rsidRPr="00316C57">
        <w:rPr>
          <w:b/>
        </w:rPr>
        <w:t>Verfassungsrechtlich unzulässige Ungleichbehandlung durch extrem unterschiedl</w:t>
      </w:r>
      <w:r w:rsidR="00316C57" w:rsidRPr="00316C57">
        <w:rPr>
          <w:b/>
        </w:rPr>
        <w:t>i</w:t>
      </w:r>
      <w:r w:rsidR="00316C57" w:rsidRPr="00316C57">
        <w:rPr>
          <w:b/>
        </w:rPr>
        <w:t>che Hand</w:t>
      </w:r>
      <w:r w:rsidR="008271A2">
        <w:rPr>
          <w:b/>
        </w:rPr>
        <w:t>h</w:t>
      </w:r>
      <w:r w:rsidR="00316C57" w:rsidRPr="00316C57">
        <w:rPr>
          <w:b/>
        </w:rPr>
        <w:t>abung der Umsetzung der einrichtungsbezogenen Impf- und Nachwei</w:t>
      </w:r>
      <w:r w:rsidR="00316C57" w:rsidRPr="00316C57">
        <w:rPr>
          <w:b/>
        </w:rPr>
        <w:t>s</w:t>
      </w:r>
      <w:r w:rsidR="00316C57" w:rsidRPr="00316C57">
        <w:rPr>
          <w:b/>
        </w:rPr>
        <w:t xml:space="preserve">pflicht in den Bundesländern: </w:t>
      </w:r>
    </w:p>
    <w:p w:rsidR="00CD38D1" w:rsidRDefault="00BC593C" w:rsidP="00BC593C">
      <w:pPr>
        <w:spacing w:before="120" w:after="120" w:line="360" w:lineRule="auto"/>
        <w:jc w:val="both"/>
      </w:pPr>
      <w:r w:rsidRPr="00BC593C">
        <w:t xml:space="preserve">Ich rüge außerdem eine Verletzung des Gleichheitsgrundsatzes von Art. 3 Abs. 1 GG durch die </w:t>
      </w:r>
      <w:r w:rsidR="005F3799">
        <w:t xml:space="preserve">– zum Teil politisch durch die Landesregierungen vorgegebene - </w:t>
      </w:r>
      <w:r w:rsidRPr="00BC593C">
        <w:t>extrem unterschiedliche Umsetzung der bundesrechtlichen Vorschriften der einrichtungsbezogenen Nachweis- und Impfpflicht des § 20a IfSG durch die einzelnen Bundes</w:t>
      </w:r>
      <w:r w:rsidR="00CD38D1">
        <w:t>länder</w:t>
      </w:r>
      <w:r w:rsidRPr="00BC593C">
        <w:t>.</w:t>
      </w:r>
      <w:r w:rsidR="00CD38D1">
        <w:t xml:space="preserve"> Konkret sehe ich mich durch die hier angefochtene Anordnung, die neben der An</w:t>
      </w:r>
      <w:r w:rsidR="0055246A">
        <w:t>f</w:t>
      </w:r>
      <w:r w:rsidR="00CD38D1">
        <w:t xml:space="preserve">orderung eines Nachweises auch ein Bußgeldverfahren und / oder die Verhängung eines Zwangsgeldes ankündigt, in Art. 3 </w:t>
      </w:r>
      <w:r w:rsidR="0055246A">
        <w:t xml:space="preserve">Abs. 1 </w:t>
      </w:r>
      <w:r w:rsidR="00CD38D1">
        <w:t>GG verletzt im Vergleich zu Betroffenen in anderen Bundesländern, die noch gar kein Schreiben vom Gesundheitsamt bekommen haben (z.B. im Bundesland Berlin) oder in d</w:t>
      </w:r>
      <w:r w:rsidR="00CD38D1">
        <w:t>e</w:t>
      </w:r>
      <w:r w:rsidR="00CD38D1">
        <w:t xml:space="preserve">nen zumindest von Druckmitteln wie der Verhängung eines Bußgeldbescheides und / oder der Androhung eines Zwangsgeldes einstweilen ausdrücklich noch abgesehen wird. </w:t>
      </w:r>
    </w:p>
    <w:p w:rsidR="00BC593C" w:rsidRPr="00BC593C" w:rsidRDefault="00CD38D1" w:rsidP="00BC593C">
      <w:pPr>
        <w:spacing w:before="120" w:after="120" w:line="360" w:lineRule="auto"/>
        <w:jc w:val="both"/>
      </w:pPr>
      <w:r>
        <w:t>Diese extrem ungleiche Umsetzung der bundesrechtlichen Vorschriften verletzt mich in me</w:t>
      </w:r>
      <w:r>
        <w:t>i</w:t>
      </w:r>
      <w:r>
        <w:t xml:space="preserve">nem Grundrecht aus Art. 3 </w:t>
      </w:r>
      <w:r w:rsidR="0055246A">
        <w:t xml:space="preserve">Abs. 1 </w:t>
      </w:r>
      <w:r w:rsidR="00211EA7">
        <w:t>GG („</w:t>
      </w:r>
      <w:r w:rsidR="00211EA7" w:rsidRPr="00211EA7">
        <w:t>Alle Menschen sind vor dem Gesetz gleich.</w:t>
      </w:r>
      <w:r w:rsidR="00211EA7">
        <w:t xml:space="preserve">“). </w:t>
      </w:r>
    </w:p>
    <w:p w:rsidR="00BC593C" w:rsidRPr="00BC593C" w:rsidRDefault="00BC593C" w:rsidP="00BC593C">
      <w:pPr>
        <w:spacing w:before="120" w:after="120" w:line="360" w:lineRule="auto"/>
        <w:jc w:val="both"/>
      </w:pPr>
      <w:r w:rsidRPr="00BC593C">
        <w:t>In manchen Bundesländern wurden bis Ende Mai bereits auf der zweiten Stufe des Verwa</w:t>
      </w:r>
      <w:r w:rsidRPr="00BC593C">
        <w:t>l</w:t>
      </w:r>
      <w:r w:rsidR="00D17A7B">
        <w:t xml:space="preserve">tungsverfahrens </w:t>
      </w:r>
      <w:r w:rsidRPr="00BC593C">
        <w:t>erste Bescheide mit Festsetzung eines Zwangsgeldes versandt. In Rhei</w:t>
      </w:r>
      <w:r w:rsidRPr="00BC593C">
        <w:t>n</w:t>
      </w:r>
      <w:r w:rsidRPr="00BC593C">
        <w:t xml:space="preserve">land-Pfalz wurden schon erste Bußgeldbescheide versandt. </w:t>
      </w:r>
    </w:p>
    <w:p w:rsidR="00BC593C" w:rsidRPr="00BC593C" w:rsidRDefault="00BC593C" w:rsidP="00BC593C">
      <w:pPr>
        <w:spacing w:before="120" w:after="120" w:line="360" w:lineRule="auto"/>
        <w:jc w:val="both"/>
      </w:pPr>
      <w:r w:rsidRPr="00BC593C">
        <w:t xml:space="preserve">In Nordrhein-Westfalen endet </w:t>
      </w:r>
      <w:r w:rsidR="00211EA7">
        <w:t xml:space="preserve">dieser Tage </w:t>
      </w:r>
      <w:r w:rsidRPr="00BC593C">
        <w:t xml:space="preserve">bereits die gesetzte Frist zur Stellungnahme im Anhörungsverfahren im Rahmen der Einzelfallprüfung der Verhängung eines individuellen Tätigkeits- oder Betretungsverbotes. </w:t>
      </w:r>
    </w:p>
    <w:p w:rsidR="00BC593C" w:rsidRPr="00BC593C" w:rsidRDefault="00BC593C" w:rsidP="00BC593C">
      <w:pPr>
        <w:spacing w:before="120" w:after="120" w:line="360" w:lineRule="auto"/>
        <w:jc w:val="both"/>
      </w:pPr>
      <w:r w:rsidRPr="00BC593C">
        <w:lastRenderedPageBreak/>
        <w:t xml:space="preserve">Demgegenüber berichten die Gesundheitsämter des Bundeslandes Berlin, dass dort (Stand 26.05.2022) noch keine Schreiben auf der ersten Stufe des Verwaltungsverfahrens an die Betroffenen versandt wurde.  </w:t>
      </w:r>
    </w:p>
    <w:p w:rsidR="00BC593C" w:rsidRPr="00BC593C" w:rsidRDefault="00BC593C" w:rsidP="00BC593C">
      <w:pPr>
        <w:spacing w:before="120" w:after="120" w:line="360" w:lineRule="auto"/>
        <w:jc w:val="both"/>
      </w:pPr>
      <w:r w:rsidRPr="00BC593C">
        <w:t xml:space="preserve">Das Gesundheitsamt Friedrichshain-Kreuzberg (Berlin) schreibt auf </w:t>
      </w:r>
      <w:proofErr w:type="spellStart"/>
      <w:r w:rsidRPr="00BC593C">
        <w:t>rbb</w:t>
      </w:r>
      <w:proofErr w:type="spellEnd"/>
      <w:r w:rsidRPr="00BC593C">
        <w:t>-Nachfrage: "Wir sind derzeit primär mit der Sichtung, Ordnung und Digitalisierung der Unterlagen befasst." Briefe an die gemeldeten Personen seien noch nicht einmal rausgegangen.</w:t>
      </w:r>
    </w:p>
    <w:p w:rsidR="00BC593C" w:rsidRPr="00BC593C" w:rsidRDefault="00BC593C" w:rsidP="00BC593C">
      <w:pPr>
        <w:spacing w:before="120" w:after="120" w:line="360" w:lineRule="auto"/>
        <w:jc w:val="both"/>
      </w:pPr>
      <w:hyperlink r:id="rId12" w:history="1">
        <w:r w:rsidRPr="00BC593C">
          <w:rPr>
            <w:rStyle w:val="Hyperlink"/>
          </w:rPr>
          <w:t>https://www.rbb24.de/politik/thema/corona/beitraege/2022/05/berlin-impfpflicht-gesundheitswesen-nachverfolgung-larscheid.html</w:t>
        </w:r>
      </w:hyperlink>
    </w:p>
    <w:p w:rsidR="00BC593C" w:rsidRPr="00BC593C" w:rsidRDefault="00BC593C" w:rsidP="00BC593C">
      <w:pPr>
        <w:spacing w:before="120" w:after="120" w:line="360" w:lineRule="auto"/>
        <w:jc w:val="both"/>
      </w:pPr>
      <w:r w:rsidRPr="00BC593C">
        <w:t>Detlef Wagner, Bezirksstadtrat für Gesundheit in Charlottenburg-Wilmersdorf (Berlin) schätzt sogar, dass sein Gesundheitsamt erst Ende des Jahres in der Lage sein wird, eventuelle Verbote auszusprechen.</w:t>
      </w:r>
    </w:p>
    <w:p w:rsidR="00BC593C" w:rsidRPr="00BC593C" w:rsidRDefault="00BC593C" w:rsidP="00BC593C">
      <w:pPr>
        <w:spacing w:before="120" w:after="120" w:line="360" w:lineRule="auto"/>
        <w:jc w:val="both"/>
      </w:pPr>
      <w:hyperlink r:id="rId13" w:history="1">
        <w:r w:rsidRPr="00BC593C">
          <w:rPr>
            <w:rStyle w:val="Hyperlink"/>
          </w:rPr>
          <w:t>https://www.rbb24.de/politik/thema/corona/beitraege/2022/05/berlin-impfpflicht-gesundheitswesen-nachverfolgung-larscheid.html</w:t>
        </w:r>
      </w:hyperlink>
    </w:p>
    <w:p w:rsidR="001F1D79" w:rsidRDefault="00BC593C" w:rsidP="00BC593C">
      <w:pPr>
        <w:spacing w:before="120" w:after="120" w:line="360" w:lineRule="auto"/>
        <w:jc w:val="both"/>
      </w:pPr>
      <w:r w:rsidRPr="00BC593C">
        <w:t xml:space="preserve">Im Bundesland Hessen werden Betroffene, die bislang keinen der gesetzlich vorgesehenen Nachweise vorgelegt haben ausdrücklich schriftlich darüber informiert, dass die Verhängung eines Bußgeldes oder Zwangsgeldes derzeit nicht beabsichtigt sei. </w:t>
      </w:r>
      <w:r w:rsidR="001F1D79">
        <w:t>Im Erlass des Bunde</w:t>
      </w:r>
      <w:r w:rsidR="001F1D79">
        <w:t>s</w:t>
      </w:r>
      <w:r w:rsidR="001F1D79">
        <w:t xml:space="preserve">landes Hessen </w:t>
      </w:r>
      <w:proofErr w:type="spellStart"/>
      <w:r w:rsidR="001F1D79">
        <w:t>heisst</w:t>
      </w:r>
      <w:proofErr w:type="spellEnd"/>
      <w:r w:rsidR="001F1D79">
        <w:t xml:space="preserve"> es:</w:t>
      </w:r>
    </w:p>
    <w:p w:rsidR="001F1D79" w:rsidRPr="00914733" w:rsidRDefault="001F1D79" w:rsidP="00BC593C">
      <w:pPr>
        <w:spacing w:before="120" w:after="120" w:line="360" w:lineRule="auto"/>
        <w:jc w:val="both"/>
        <w:rPr>
          <w:i/>
          <w:sz w:val="20"/>
          <w:szCs w:val="20"/>
        </w:rPr>
      </w:pPr>
      <w:r>
        <w:rPr>
          <w:i/>
          <w:sz w:val="20"/>
          <w:szCs w:val="20"/>
        </w:rPr>
        <w:t>„</w:t>
      </w:r>
      <w:r w:rsidRPr="001F1D79">
        <w:rPr>
          <w:i/>
          <w:sz w:val="20"/>
          <w:szCs w:val="20"/>
        </w:rPr>
        <w:t>Aus Opportunitätsgesichtspunkten ist für den Regelfall davon abzusehen, zu</w:t>
      </w:r>
      <w:r w:rsidRPr="001F1D79">
        <w:rPr>
          <w:i/>
          <w:sz w:val="20"/>
          <w:szCs w:val="20"/>
        </w:rPr>
        <w:br/>
        <w:t>diesem Zeitpunkt bereits ein Bußgeldverfahren einzuleiten, auch wenn die</w:t>
      </w:r>
      <w:r w:rsidRPr="001F1D79">
        <w:rPr>
          <w:i/>
          <w:sz w:val="20"/>
          <w:szCs w:val="20"/>
        </w:rPr>
        <w:br/>
        <w:t>Voraussetzungen nach § 73 Abs. 1a Nr. 7e IfSG erfüllt sein mögen. In diesem</w:t>
      </w:r>
      <w:r w:rsidRPr="001F1D79">
        <w:rPr>
          <w:i/>
          <w:sz w:val="20"/>
          <w:szCs w:val="20"/>
        </w:rPr>
        <w:br/>
        <w:t>Verfahrensstand soll die Beibringung geeigneter Nachweise und die Mitwirkung</w:t>
      </w:r>
      <w:r w:rsidRPr="001F1D79">
        <w:rPr>
          <w:i/>
          <w:sz w:val="20"/>
          <w:szCs w:val="20"/>
        </w:rPr>
        <w:br/>
        <w:t>am weiteren Verfahren im Vordergrund stehen.</w:t>
      </w:r>
      <w:r>
        <w:rPr>
          <w:i/>
          <w:sz w:val="20"/>
          <w:szCs w:val="20"/>
        </w:rPr>
        <w:t xml:space="preserve">“ </w:t>
      </w:r>
      <w:r w:rsidR="00914733" w:rsidRPr="00914733">
        <w:rPr>
          <w:i/>
          <w:sz w:val="20"/>
          <w:szCs w:val="20"/>
        </w:rPr>
        <w:t xml:space="preserve">Erlass </w:t>
      </w:r>
      <w:r w:rsidR="00914733">
        <w:rPr>
          <w:i/>
          <w:sz w:val="20"/>
          <w:szCs w:val="20"/>
        </w:rPr>
        <w:t xml:space="preserve">des Landes Hessen </w:t>
      </w:r>
      <w:r w:rsidR="00914733" w:rsidRPr="00914733">
        <w:rPr>
          <w:i/>
          <w:sz w:val="20"/>
          <w:szCs w:val="20"/>
        </w:rPr>
        <w:t>zum Vollzug der „einric</w:t>
      </w:r>
      <w:r w:rsidR="00914733" w:rsidRPr="00914733">
        <w:rPr>
          <w:i/>
          <w:sz w:val="20"/>
          <w:szCs w:val="20"/>
        </w:rPr>
        <w:t>h</w:t>
      </w:r>
      <w:r w:rsidR="00914733" w:rsidRPr="00914733">
        <w:rPr>
          <w:i/>
          <w:sz w:val="20"/>
          <w:szCs w:val="20"/>
        </w:rPr>
        <w:t>tungsbezogenen Impfpflic</w:t>
      </w:r>
      <w:r w:rsidR="00914733">
        <w:rPr>
          <w:i/>
          <w:sz w:val="20"/>
          <w:szCs w:val="20"/>
        </w:rPr>
        <w:t xml:space="preserve">ht“ nach § 20a IfSG </w:t>
      </w:r>
      <w:r w:rsidR="00914733" w:rsidRPr="00914733">
        <w:rPr>
          <w:i/>
          <w:sz w:val="20"/>
          <w:szCs w:val="20"/>
        </w:rPr>
        <w:t>(Immunitätsnachweis gegen COVID-19)</w:t>
      </w:r>
      <w:r w:rsidR="00914733">
        <w:rPr>
          <w:i/>
          <w:sz w:val="20"/>
          <w:szCs w:val="20"/>
        </w:rPr>
        <w:t xml:space="preserve"> (S. 14). </w:t>
      </w:r>
    </w:p>
    <w:p w:rsidR="00BC593C" w:rsidRDefault="00BC593C" w:rsidP="00BC593C">
      <w:pPr>
        <w:spacing w:before="120" w:after="120" w:line="360" w:lineRule="auto"/>
        <w:jc w:val="both"/>
      </w:pPr>
      <w:r w:rsidRPr="00BC593C">
        <w:t>Da Betroffene auch ohne Nachweis zunächst bis zur Verhängung eines eventuellen Täti</w:t>
      </w:r>
      <w:r w:rsidRPr="00BC593C">
        <w:t>g</w:t>
      </w:r>
      <w:r w:rsidRPr="00BC593C">
        <w:t>keits- oder Betretungsverbotes einstweilen weiterarbeiten dürfen, hat die einrichtungsbez</w:t>
      </w:r>
      <w:r w:rsidRPr="00BC593C">
        <w:t>o</w:t>
      </w:r>
      <w:r w:rsidRPr="00BC593C">
        <w:t xml:space="preserve">gene Impf- und Nachweispflicht dort bislang offenbar keine für die Betroffenen spürbaren Auswirkungen. </w:t>
      </w:r>
    </w:p>
    <w:p w:rsidR="00914733" w:rsidRDefault="00914733" w:rsidP="00914733">
      <w:pPr>
        <w:spacing w:before="120" w:after="120" w:line="360" w:lineRule="auto"/>
        <w:jc w:val="both"/>
      </w:pPr>
      <w:r>
        <w:t>In Bayern ist die Einleitung eines Bußgeldverfahrens erst ab der dritten Stufe vorgesehen, die Verhängung eines Tätigkeits- oder Betretungsverbotes gar erst als „</w:t>
      </w:r>
      <w:proofErr w:type="spellStart"/>
      <w:r>
        <w:t>ultima</w:t>
      </w:r>
      <w:proofErr w:type="spellEnd"/>
      <w:r>
        <w:t xml:space="preserve"> </w:t>
      </w:r>
      <w:proofErr w:type="spellStart"/>
      <w:r>
        <w:t>ratio</w:t>
      </w:r>
      <w:proofErr w:type="spellEnd"/>
      <w:r>
        <w:t>“ in der vierten Stufe des Verwaltungsverfahrens. Demgemäß hat der bayerische Gesundheitsmini</w:t>
      </w:r>
      <w:r>
        <w:t>s</w:t>
      </w:r>
      <w:r>
        <w:t xml:space="preserve">ter </w:t>
      </w:r>
      <w:proofErr w:type="spellStart"/>
      <w:r>
        <w:t>Holetschek</w:t>
      </w:r>
      <w:proofErr w:type="spellEnd"/>
      <w:r>
        <w:t xml:space="preserve"> angekündigt, dass eventuelle Betretungsverbote erst ab dem Sommer ausg</w:t>
      </w:r>
      <w:r>
        <w:t>e</w:t>
      </w:r>
      <w:r>
        <w:t>sprochen werden können (vgl. Pressemitteilung des Bayrischen Staatsministeriums für G</w:t>
      </w:r>
      <w:r>
        <w:t>e</w:t>
      </w:r>
      <w:r>
        <w:t xml:space="preserve">sundheit und Pflege Nr. 46/GP 01.03.2022). </w:t>
      </w:r>
    </w:p>
    <w:p w:rsidR="00D41CD8" w:rsidRDefault="00D41CD8" w:rsidP="00D41CD8">
      <w:pPr>
        <w:spacing w:before="120" w:after="120" w:line="360" w:lineRule="auto"/>
        <w:jc w:val="both"/>
      </w:pPr>
      <w:r>
        <w:t xml:space="preserve">Nachdem die allgemeine Corona-Impfpflicht im April im Bundestag gescheitert ist, hat das Bayerische Staatsministerium für Gesundheit und Pflege angekündigt, Verstöße gegen die </w:t>
      </w:r>
      <w:r>
        <w:lastRenderedPageBreak/>
        <w:t>bestehende einrichtungsbezogene Impfpflicht nur bedingt bestrafen zu wollen. Nach Ang</w:t>
      </w:r>
      <w:r>
        <w:t>a</w:t>
      </w:r>
      <w:r>
        <w:t xml:space="preserve">ben der Deutschen Presse-Agentur (dpa) sagte der zuständige Gesundheitsminister Klaus </w:t>
      </w:r>
      <w:proofErr w:type="spellStart"/>
      <w:r>
        <w:t>Holetschek</w:t>
      </w:r>
      <w:proofErr w:type="spellEnd"/>
      <w:r>
        <w:t xml:space="preserve"> (CSU) in der "Augsburger Allgemeinen" von Montag:</w:t>
      </w:r>
    </w:p>
    <w:p w:rsidR="00D41CD8" w:rsidRPr="00D41CD8" w:rsidRDefault="00D41CD8" w:rsidP="00D41CD8">
      <w:pPr>
        <w:spacing w:before="120" w:after="120" w:line="360" w:lineRule="auto"/>
        <w:jc w:val="both"/>
        <w:rPr>
          <w:i/>
          <w:sz w:val="20"/>
          <w:szCs w:val="20"/>
        </w:rPr>
      </w:pPr>
      <w:r w:rsidRPr="00D41CD8">
        <w:rPr>
          <w:i/>
          <w:sz w:val="20"/>
          <w:szCs w:val="20"/>
        </w:rPr>
        <w:t>"Wir werden in Bayern in Bezug auf Sanktionen großzügig verfahren und prüfen, den bundesrechtl</w:t>
      </w:r>
      <w:r w:rsidRPr="00D41CD8">
        <w:rPr>
          <w:i/>
          <w:sz w:val="20"/>
          <w:szCs w:val="20"/>
        </w:rPr>
        <w:t>i</w:t>
      </w:r>
      <w:r w:rsidRPr="00D41CD8">
        <w:rPr>
          <w:i/>
          <w:sz w:val="20"/>
          <w:szCs w:val="20"/>
        </w:rPr>
        <w:t>chen Bußgeldrahmen nicht auszuschöpfen, sondern nur deutlich reduziert anzu</w:t>
      </w:r>
      <w:r>
        <w:rPr>
          <w:i/>
          <w:sz w:val="20"/>
          <w:szCs w:val="20"/>
        </w:rPr>
        <w:t>wenden."</w:t>
      </w:r>
    </w:p>
    <w:p w:rsidR="00D41CD8" w:rsidRDefault="00D41CD8" w:rsidP="00D41CD8">
      <w:pPr>
        <w:spacing w:before="120" w:after="120" w:line="360" w:lineRule="auto"/>
        <w:jc w:val="both"/>
      </w:pPr>
      <w:r>
        <w:t>Alle gesetzlichen Spielräume wolle er ausnutzen, so der Minister weiter.</w:t>
      </w:r>
    </w:p>
    <w:p w:rsidR="00D41CD8" w:rsidRDefault="00D41CD8" w:rsidP="00D41CD8">
      <w:pPr>
        <w:spacing w:before="120" w:after="120" w:line="360" w:lineRule="auto"/>
        <w:jc w:val="both"/>
      </w:pPr>
      <w:r>
        <w:t>Eine strenge Umsetzung der Impfpflicht u. a. für Pflegepersonal sei "denjenigen gegenüber unfair, die seit zwei Jahren an vorderster Front gegen die Pandemie kämpfen".</w:t>
      </w:r>
    </w:p>
    <w:p w:rsidR="00637372" w:rsidRPr="00BC593C" w:rsidRDefault="00637372" w:rsidP="00D41CD8">
      <w:pPr>
        <w:spacing w:before="120" w:after="120" w:line="360" w:lineRule="auto"/>
        <w:jc w:val="both"/>
      </w:pPr>
      <w:hyperlink r:id="rId14" w:history="1">
        <w:r w:rsidRPr="006F1E43">
          <w:rPr>
            <w:rStyle w:val="Hyperlink"/>
          </w:rPr>
          <w:t>https://www.bibliomed-pflege.de/news/bayern-kuendigt-milde-strafen-fuer-verstoesse-an</w:t>
        </w:r>
      </w:hyperlink>
    </w:p>
    <w:p w:rsidR="00BC593C" w:rsidRDefault="00BC593C" w:rsidP="00BC593C">
      <w:pPr>
        <w:spacing w:before="120" w:after="120" w:line="360" w:lineRule="auto"/>
        <w:jc w:val="both"/>
      </w:pPr>
      <w:r w:rsidRPr="00BC593C">
        <w:t xml:space="preserve">Demgegenüber sind Betroffene im Bundesland NRW bereits im Juni mit der Verhängung </w:t>
      </w:r>
      <w:r w:rsidR="00845C1C">
        <w:t xml:space="preserve">von </w:t>
      </w:r>
      <w:r w:rsidRPr="00BC593C">
        <w:t>Tätigkeits- und Betretungsverbote</w:t>
      </w:r>
      <w:r w:rsidR="00845C1C">
        <w:t>n</w:t>
      </w:r>
      <w:r w:rsidRPr="00BC593C">
        <w:t xml:space="preserve"> konfrontiert. </w:t>
      </w:r>
    </w:p>
    <w:p w:rsidR="00845C1C" w:rsidRDefault="00845C1C" w:rsidP="00BC593C">
      <w:pPr>
        <w:spacing w:before="120" w:after="120" w:line="360" w:lineRule="auto"/>
        <w:jc w:val="both"/>
      </w:pPr>
      <w:r>
        <w:t xml:space="preserve">Im Erlass des Bundeslandes NRW </w:t>
      </w:r>
      <w:proofErr w:type="spellStart"/>
      <w:r>
        <w:t>heisst</w:t>
      </w:r>
      <w:proofErr w:type="spellEnd"/>
      <w:r>
        <w:t xml:space="preserve"> es zum Zeitplan: </w:t>
      </w:r>
    </w:p>
    <w:p w:rsidR="00845C1C" w:rsidRPr="00845C1C" w:rsidRDefault="00845C1C" w:rsidP="00845C1C">
      <w:pPr>
        <w:spacing w:before="120" w:after="120" w:line="360" w:lineRule="auto"/>
        <w:jc w:val="both"/>
        <w:rPr>
          <w:i/>
          <w:sz w:val="20"/>
          <w:szCs w:val="20"/>
        </w:rPr>
      </w:pPr>
      <w:r>
        <w:rPr>
          <w:i/>
          <w:sz w:val="20"/>
          <w:szCs w:val="20"/>
        </w:rPr>
        <w:t>„</w:t>
      </w:r>
      <w:r w:rsidRPr="00845C1C">
        <w:rPr>
          <w:i/>
          <w:sz w:val="20"/>
          <w:szCs w:val="20"/>
        </w:rPr>
        <w:t xml:space="preserve">Die damit zusammenhängenden vorbereitenden Maßnahmen wie die Anforderung von Nachweisen und die Anordnung sowie Durchführung einer ärztlichen Untersuchung sind </w:t>
      </w:r>
      <w:r w:rsidRPr="00845C1C">
        <w:rPr>
          <w:b/>
          <w:i/>
          <w:sz w:val="20"/>
          <w:szCs w:val="20"/>
        </w:rPr>
        <w:t xml:space="preserve">spätestens bis zum 15. Juni 2022 </w:t>
      </w:r>
      <w:r w:rsidRPr="00845C1C">
        <w:rPr>
          <w:i/>
          <w:sz w:val="20"/>
          <w:szCs w:val="20"/>
        </w:rPr>
        <w:t>durch die untere Gesundheitsbehörde abzuschließen.</w:t>
      </w:r>
    </w:p>
    <w:p w:rsidR="00845C1C" w:rsidRPr="00845C1C" w:rsidRDefault="00845C1C" w:rsidP="00845C1C">
      <w:pPr>
        <w:spacing w:before="120" w:after="120" w:line="360" w:lineRule="auto"/>
        <w:jc w:val="both"/>
        <w:rPr>
          <w:i/>
          <w:sz w:val="20"/>
          <w:szCs w:val="20"/>
        </w:rPr>
      </w:pPr>
      <w:r w:rsidRPr="00845C1C">
        <w:rPr>
          <w:b/>
          <w:i/>
          <w:sz w:val="20"/>
          <w:szCs w:val="20"/>
        </w:rPr>
        <w:t>Spätestens ab dem 16. Juni 2022</w:t>
      </w:r>
      <w:r w:rsidRPr="00845C1C">
        <w:rPr>
          <w:i/>
          <w:sz w:val="20"/>
          <w:szCs w:val="20"/>
        </w:rPr>
        <w:t xml:space="preserve"> entsprechende Verwaltungsverfahren mit dem Ziel des Erlasses von Untersagungsverfügungen nach § 20a Abs. 5 Satz 3 IfSG einzuleiten.</w:t>
      </w:r>
      <w:r>
        <w:rPr>
          <w:i/>
          <w:sz w:val="20"/>
          <w:szCs w:val="20"/>
        </w:rPr>
        <w:t>“ (</w:t>
      </w:r>
      <w:r w:rsidRPr="00845C1C">
        <w:rPr>
          <w:i/>
          <w:sz w:val="20"/>
          <w:szCs w:val="20"/>
        </w:rPr>
        <w:t xml:space="preserve">Erster Erlass </w:t>
      </w:r>
      <w:r>
        <w:rPr>
          <w:i/>
          <w:sz w:val="20"/>
          <w:szCs w:val="20"/>
        </w:rPr>
        <w:t xml:space="preserve">des Landes NRW </w:t>
      </w:r>
      <w:r w:rsidRPr="00845C1C">
        <w:rPr>
          <w:i/>
          <w:sz w:val="20"/>
          <w:szCs w:val="20"/>
        </w:rPr>
        <w:t>zur Anwendung des § 20a IfSG</w:t>
      </w:r>
      <w:r>
        <w:rPr>
          <w:i/>
          <w:sz w:val="20"/>
          <w:szCs w:val="20"/>
        </w:rPr>
        <w:t xml:space="preserve"> vom 18.02.2022)</w:t>
      </w:r>
    </w:p>
    <w:p w:rsidR="000F0A6F" w:rsidRDefault="000F0A6F" w:rsidP="00BC593C">
      <w:pPr>
        <w:spacing w:before="120" w:after="120" w:line="360" w:lineRule="auto"/>
        <w:jc w:val="both"/>
      </w:pPr>
      <w:r>
        <w:t>Auch das Bundesland Niedersachsen setzt die gesetzlichen Bestimmungen zügig und ko</w:t>
      </w:r>
      <w:r>
        <w:t>n</w:t>
      </w:r>
      <w:r>
        <w:t>sequent um. Die niedersäch</w:t>
      </w:r>
      <w:r w:rsidR="00637372">
        <w:t>s</w:t>
      </w:r>
      <w:r>
        <w:t>ische Gesund</w:t>
      </w:r>
      <w:r w:rsidR="0055246A">
        <w:t>h</w:t>
      </w:r>
      <w:r>
        <w:t xml:space="preserve">eitsministerin </w:t>
      </w:r>
      <w:r w:rsidR="0055246A">
        <w:t xml:space="preserve">Behrens </w:t>
      </w:r>
      <w:r>
        <w:t xml:space="preserve">wird wie folgt zitiert: </w:t>
      </w:r>
    </w:p>
    <w:p w:rsidR="000F0A6F" w:rsidRDefault="000F0A6F" w:rsidP="00BC593C">
      <w:pPr>
        <w:spacing w:before="120" w:after="120" w:line="360" w:lineRule="auto"/>
        <w:jc w:val="both"/>
        <w:rPr>
          <w:i/>
        </w:rPr>
      </w:pPr>
      <w:r w:rsidRPr="000F0A6F">
        <w:rPr>
          <w:i/>
        </w:rPr>
        <w:t>„Wir setzen die einrichtungsbezogene Impfpflicht in Niedersachsen konsequent um“, so M</w:t>
      </w:r>
      <w:r w:rsidRPr="000F0A6F">
        <w:rPr>
          <w:i/>
        </w:rPr>
        <w:t>i</w:t>
      </w:r>
      <w:r w:rsidRPr="000F0A6F">
        <w:rPr>
          <w:i/>
        </w:rPr>
        <w:t>nisterin Behrens. „Die Gesundheitsbehörden sind gehalten, jedem einzelnen Fall nachzug</w:t>
      </w:r>
      <w:r w:rsidRPr="000F0A6F">
        <w:rPr>
          <w:i/>
        </w:rPr>
        <w:t>e</w:t>
      </w:r>
      <w:r w:rsidRPr="000F0A6F">
        <w:rPr>
          <w:i/>
        </w:rPr>
        <w:t>hen und die entsprechenden Konsequenzen zu ziehen.</w:t>
      </w:r>
      <w:r>
        <w:rPr>
          <w:i/>
        </w:rPr>
        <w:t>“</w:t>
      </w:r>
    </w:p>
    <w:p w:rsidR="000F0A6F" w:rsidRPr="000F0A6F" w:rsidRDefault="000F0A6F" w:rsidP="00BC593C">
      <w:pPr>
        <w:spacing w:before="120" w:after="120" w:line="360" w:lineRule="auto"/>
        <w:jc w:val="both"/>
        <w:rPr>
          <w:i/>
        </w:rPr>
      </w:pPr>
      <w:hyperlink r:id="rId15" w:history="1">
        <w:r w:rsidRPr="00DB3D71">
          <w:rPr>
            <w:rStyle w:val="Hyperlink"/>
            <w:i/>
          </w:rPr>
          <w:t>https://www.ms.niedersachsen.de/startseite/service_kontakt/presseinformationen/weniger-als-funf-prozent-nicht-geimpfte-im-gesundheitswesen-211324.html</w:t>
        </w:r>
      </w:hyperlink>
    </w:p>
    <w:p w:rsidR="0055246A" w:rsidRDefault="0055246A" w:rsidP="00BC593C">
      <w:pPr>
        <w:spacing w:before="120" w:after="120" w:line="360" w:lineRule="auto"/>
        <w:jc w:val="both"/>
      </w:pPr>
      <w:r>
        <w:t>Dem Beschluss des Verwaltungsgerichts Hannover ist zu entnehmen, dass in Niedersac</w:t>
      </w:r>
      <w:r>
        <w:t>h</w:t>
      </w:r>
      <w:r>
        <w:t xml:space="preserve">sen bereits mit Bescheiden vom 31.03.2022 ein Zwangsgeld für den Fall der Nichtvorlage eines Nachweises (unter einer Fristsetzung von 14 Tagen) angedroht wurde (vgl. </w:t>
      </w:r>
      <w:r w:rsidRPr="0055246A">
        <w:t>VG Ha</w:t>
      </w:r>
      <w:r w:rsidRPr="0055246A">
        <w:t>n</w:t>
      </w:r>
      <w:r w:rsidRPr="0055246A">
        <w:t>nover 15. Kammer, Beschlu</w:t>
      </w:r>
      <w:r>
        <w:t xml:space="preserve">ss vom 11.05.2022, 15 B 1609/22). </w:t>
      </w:r>
    </w:p>
    <w:p w:rsidR="00BC593C" w:rsidRDefault="00BC593C" w:rsidP="00BC593C">
      <w:pPr>
        <w:spacing w:before="120" w:after="120" w:line="360" w:lineRule="auto"/>
        <w:jc w:val="both"/>
      </w:pPr>
      <w:r w:rsidRPr="00BC593C">
        <w:t>Diese extrem unterschiedliche Umsetzung der bundesrechtlichen Vorgaben durch die  Bu</w:t>
      </w:r>
      <w:r w:rsidRPr="00BC593C">
        <w:t>n</w:t>
      </w:r>
      <w:r w:rsidRPr="00BC593C">
        <w:t>desländer stellt – erst recht m</w:t>
      </w:r>
      <w:r w:rsidR="005217DA">
        <w:t>it Blick auf den auch vom Bundesverfassungsgericht</w:t>
      </w:r>
      <w:r w:rsidRPr="00BC593C">
        <w:t xml:space="preserve"> anerkan</w:t>
      </w:r>
      <w:r w:rsidRPr="00BC593C">
        <w:t>n</w:t>
      </w:r>
      <w:r w:rsidRPr="00BC593C">
        <w:t xml:space="preserve">ten schwerwiegenden Eingriff in das Grundrecht auf körperliche Unversehrtheit </w:t>
      </w:r>
      <w:r w:rsidR="00211EA7">
        <w:t xml:space="preserve">durch die Impf- und Nachweispflicht </w:t>
      </w:r>
      <w:r w:rsidRPr="00BC593C">
        <w:t>- einen nicht mehr zu rechtfertigenden Verstoß gegen Art. 3 Abs. 1 GG dar. Durch die politischen Vorgaben der Bundesländer werden hier auch gleich und äh</w:t>
      </w:r>
      <w:r w:rsidRPr="00BC593C">
        <w:t>n</w:t>
      </w:r>
      <w:r w:rsidRPr="00BC593C">
        <w:lastRenderedPageBreak/>
        <w:t>lich gelagerte Sachverhalte jenseits einer individuellen Einzelfallprüfung extrem unterschie</w:t>
      </w:r>
      <w:r w:rsidRPr="00BC593C">
        <w:t>d</w:t>
      </w:r>
      <w:r w:rsidRPr="00BC593C">
        <w:t>lich behandelt.</w:t>
      </w:r>
    </w:p>
    <w:p w:rsidR="006152D8" w:rsidRDefault="006152D8" w:rsidP="00BC593C">
      <w:pPr>
        <w:spacing w:before="120" w:after="120" w:line="360" w:lineRule="auto"/>
        <w:jc w:val="both"/>
      </w:pPr>
      <w:r>
        <w:t xml:space="preserve">Dies wird u.a. in der </w:t>
      </w:r>
      <w:r w:rsidR="005217DA">
        <w:t xml:space="preserve">weiterhin </w:t>
      </w:r>
      <w:r>
        <w:t xml:space="preserve">Verfassungsbeschwerde zu </w:t>
      </w:r>
      <w:r w:rsidRPr="006152D8">
        <w:t xml:space="preserve">Aktenzeichen 1 </w:t>
      </w:r>
      <w:proofErr w:type="spellStart"/>
      <w:r w:rsidRPr="006152D8">
        <w:t>BvR</w:t>
      </w:r>
      <w:proofErr w:type="spellEnd"/>
      <w:r w:rsidRPr="006152D8">
        <w:t xml:space="preserve"> 304/22</w:t>
      </w:r>
      <w:r>
        <w:t xml:space="preserve"> g</w:t>
      </w:r>
      <w:r>
        <w:t>e</w:t>
      </w:r>
      <w:r>
        <w:t xml:space="preserve">rügt. </w:t>
      </w:r>
    </w:p>
    <w:p w:rsidR="00BC593C" w:rsidRDefault="00BC593C" w:rsidP="00B77741">
      <w:pPr>
        <w:spacing w:before="120" w:after="120" w:line="360" w:lineRule="auto"/>
        <w:jc w:val="both"/>
      </w:pPr>
    </w:p>
    <w:p w:rsidR="00BC593C" w:rsidRDefault="00316C57" w:rsidP="00B77741">
      <w:pPr>
        <w:spacing w:before="120" w:after="120" w:line="360" w:lineRule="auto"/>
        <w:jc w:val="both"/>
      </w:pPr>
      <w:r w:rsidRPr="00316C57">
        <w:rPr>
          <w:b/>
        </w:rPr>
        <w:t>5. Aufschiebende Wirkung des Widerspruchs:</w:t>
      </w:r>
      <w:r>
        <w:t xml:space="preserve"> </w:t>
      </w:r>
    </w:p>
    <w:p w:rsidR="00BC593C" w:rsidRDefault="00B77741" w:rsidP="00B77741">
      <w:pPr>
        <w:spacing w:before="120" w:after="120" w:line="360" w:lineRule="auto"/>
        <w:jc w:val="both"/>
      </w:pPr>
      <w:r>
        <w:t xml:space="preserve">Ich gehe davon aus, dass dieser Widerspruch </w:t>
      </w:r>
      <w:r w:rsidRPr="00BC593C">
        <w:rPr>
          <w:b/>
        </w:rPr>
        <w:t>aufschiebende Wirkung</w:t>
      </w:r>
      <w:r>
        <w:t xml:space="preserve"> entfaltet. </w:t>
      </w:r>
    </w:p>
    <w:p w:rsidR="00B77741" w:rsidRDefault="00B77741" w:rsidP="00B77741">
      <w:pPr>
        <w:spacing w:before="120" w:after="120" w:line="360" w:lineRule="auto"/>
        <w:jc w:val="both"/>
      </w:pPr>
      <w:r>
        <w:t>Soweit § 20a Abs. 5 Satz 4 IfSG regelt, dass Widerspruch und Anfechtungsklage keine au</w:t>
      </w:r>
      <w:r>
        <w:t>f</w:t>
      </w:r>
      <w:r>
        <w:t>schiebende Wirkung entfalten, betrifft dies lediglich Anordnungen einer körperlichen Unte</w:t>
      </w:r>
      <w:r>
        <w:t>r</w:t>
      </w:r>
      <w:r>
        <w:t xml:space="preserve">suchung beziehungsweise </w:t>
      </w:r>
      <w:r w:rsidR="00A663B6">
        <w:t xml:space="preserve">die </w:t>
      </w:r>
      <w:r>
        <w:t xml:space="preserve">Verhängung von Tätigkeits- und Betretungsverboten. </w:t>
      </w:r>
    </w:p>
    <w:p w:rsidR="00BC593C" w:rsidRDefault="00B77741" w:rsidP="00B77741">
      <w:pPr>
        <w:spacing w:before="120" w:after="120" w:line="360" w:lineRule="auto"/>
        <w:jc w:val="both"/>
      </w:pPr>
      <w:r>
        <w:t xml:space="preserve">Somit bleibt es in Bezug auf die hiesige </w:t>
      </w:r>
      <w:r w:rsidR="00B66F36">
        <w:t xml:space="preserve">angefochtene </w:t>
      </w:r>
      <w:r>
        <w:t xml:space="preserve">Verfügung </w:t>
      </w:r>
      <w:r w:rsidR="006649AC">
        <w:t xml:space="preserve">– die mit der Anforderung </w:t>
      </w:r>
      <w:r>
        <w:t>zur Vorlage eines Nachweis</w:t>
      </w:r>
      <w:r w:rsidR="006649AC">
        <w:t>es verbunden mit einer konkreten Fristsetzung und als Anknü</w:t>
      </w:r>
      <w:r w:rsidR="006649AC">
        <w:t>p</w:t>
      </w:r>
      <w:r w:rsidR="006649AC">
        <w:t>fungspunkt für weitere Sanktionen, z.B. Erlass eines Bußgeldbescheides, als belastender</w:t>
      </w:r>
      <w:r>
        <w:t xml:space="preserve"> Verwaltungsakt </w:t>
      </w:r>
      <w:r w:rsidR="006649AC">
        <w:t>zu qualifizieren ist</w:t>
      </w:r>
      <w:r w:rsidR="005217DA">
        <w:t xml:space="preserve"> (siehe oben)</w:t>
      </w:r>
      <w:r w:rsidR="006649AC">
        <w:t xml:space="preserve"> - </w:t>
      </w:r>
      <w:r>
        <w:t>bei der allgemeinen Regelung, wonach ein Widerspruch a</w:t>
      </w:r>
      <w:r w:rsidR="00DB770B">
        <w:t xml:space="preserve">ufschiebende Wirkung entfaltet (§ 80 Abs. 1 VwGO). </w:t>
      </w:r>
      <w:r w:rsidR="00E26039">
        <w:t xml:space="preserve">Auch das OVG Sachsen-Anhalt geht in seinem </w:t>
      </w:r>
      <w:r w:rsidR="00E26039" w:rsidRPr="00E26039">
        <w:t>Beschluss vom 21.10.2021 - 3 M 134/21</w:t>
      </w:r>
      <w:r w:rsidR="00E26039">
        <w:t xml:space="preserve"> ersichtlich von der Verwa</w:t>
      </w:r>
      <w:r w:rsidR="00E26039">
        <w:t>l</w:t>
      </w:r>
      <w:r w:rsidR="00E26039">
        <w:t>tungsakts-Qualität einer solchen behördlichen Aufforderung zur Vorlage eines Immunität</w:t>
      </w:r>
      <w:r w:rsidR="00E26039">
        <w:t>s</w:t>
      </w:r>
      <w:r w:rsidR="00E26039">
        <w:t xml:space="preserve">nachweises aus. </w:t>
      </w:r>
    </w:p>
    <w:p w:rsidR="006875DA" w:rsidRDefault="006875DA" w:rsidP="00B77741">
      <w:pPr>
        <w:spacing w:before="120" w:after="120" w:line="360" w:lineRule="auto"/>
        <w:jc w:val="both"/>
      </w:pPr>
    </w:p>
    <w:p w:rsidR="005217DA" w:rsidRDefault="005217DA" w:rsidP="00B77741">
      <w:pPr>
        <w:spacing w:before="120" w:after="120" w:line="360" w:lineRule="auto"/>
        <w:jc w:val="both"/>
      </w:pPr>
      <w:r>
        <w:t>6.</w:t>
      </w:r>
    </w:p>
    <w:p w:rsidR="00B66F36" w:rsidRDefault="00B77741" w:rsidP="00B77741">
      <w:pPr>
        <w:spacing w:before="120" w:after="120" w:line="360" w:lineRule="auto"/>
        <w:jc w:val="both"/>
        <w:rPr>
          <w:b/>
        </w:rPr>
      </w:pPr>
      <w:r>
        <w:t xml:space="preserve">Ich   </w:t>
      </w:r>
      <w:r w:rsidRPr="00B77741">
        <w:rPr>
          <w:b/>
        </w:rPr>
        <w:t>b</w:t>
      </w:r>
      <w:r>
        <w:rPr>
          <w:b/>
        </w:rPr>
        <w:t xml:space="preserve"> </w:t>
      </w:r>
      <w:r w:rsidRPr="00B77741">
        <w:rPr>
          <w:b/>
        </w:rPr>
        <w:t>e</w:t>
      </w:r>
      <w:r>
        <w:rPr>
          <w:b/>
        </w:rPr>
        <w:t xml:space="preserve"> </w:t>
      </w:r>
      <w:r w:rsidRPr="00B77741">
        <w:rPr>
          <w:b/>
        </w:rPr>
        <w:t>a</w:t>
      </w:r>
      <w:r>
        <w:rPr>
          <w:b/>
        </w:rPr>
        <w:t xml:space="preserve"> </w:t>
      </w:r>
      <w:r w:rsidRPr="00B77741">
        <w:rPr>
          <w:b/>
        </w:rPr>
        <w:t>n</w:t>
      </w:r>
      <w:r>
        <w:rPr>
          <w:b/>
        </w:rPr>
        <w:t xml:space="preserve"> </w:t>
      </w:r>
      <w:r w:rsidRPr="00B77741">
        <w:rPr>
          <w:b/>
        </w:rPr>
        <w:t>t</w:t>
      </w:r>
      <w:r>
        <w:rPr>
          <w:b/>
        </w:rPr>
        <w:t xml:space="preserve"> </w:t>
      </w:r>
      <w:r w:rsidRPr="00B77741">
        <w:rPr>
          <w:b/>
        </w:rPr>
        <w:t>r</w:t>
      </w:r>
      <w:r>
        <w:rPr>
          <w:b/>
        </w:rPr>
        <w:t xml:space="preserve"> </w:t>
      </w:r>
      <w:r w:rsidRPr="00B77741">
        <w:rPr>
          <w:b/>
        </w:rPr>
        <w:t>a</w:t>
      </w:r>
      <w:r>
        <w:rPr>
          <w:b/>
        </w:rPr>
        <w:t xml:space="preserve"> </w:t>
      </w:r>
      <w:r w:rsidRPr="00B77741">
        <w:rPr>
          <w:b/>
        </w:rPr>
        <w:t>g</w:t>
      </w:r>
      <w:r>
        <w:rPr>
          <w:b/>
        </w:rPr>
        <w:t xml:space="preserve"> </w:t>
      </w:r>
      <w:r w:rsidRPr="00B77741">
        <w:rPr>
          <w:b/>
        </w:rPr>
        <w:t>e</w:t>
      </w:r>
      <w:r w:rsidR="00711BBE">
        <w:rPr>
          <w:b/>
        </w:rPr>
        <w:t xml:space="preserve"> </w:t>
      </w:r>
    </w:p>
    <w:p w:rsidR="00B77741" w:rsidRDefault="00711BBE" w:rsidP="00B77741">
      <w:pPr>
        <w:spacing w:before="120" w:after="120" w:line="360" w:lineRule="auto"/>
        <w:jc w:val="both"/>
      </w:pPr>
      <w:r w:rsidRPr="00711BBE">
        <w:t>deshalb</w:t>
      </w:r>
      <w:r w:rsidR="00B77741" w:rsidRPr="00711BBE">
        <w:t>,</w:t>
      </w:r>
      <w:r>
        <w:rPr>
          <w:b/>
        </w:rPr>
        <w:t xml:space="preserve"> </w:t>
      </w:r>
      <w:r w:rsidR="00B77741">
        <w:t xml:space="preserve"> das hiesige Verfahren bis zur Entscheidung des Bundesverfassungsgerichtes </w:t>
      </w:r>
      <w:r w:rsidR="005217DA">
        <w:t xml:space="preserve">auch </w:t>
      </w:r>
      <w:r w:rsidR="00B77741">
        <w:t xml:space="preserve">über die </w:t>
      </w:r>
      <w:r w:rsidR="00745419">
        <w:t xml:space="preserve">oben genannten </w:t>
      </w:r>
      <w:r w:rsidR="00316C57">
        <w:t xml:space="preserve">weiterhin </w:t>
      </w:r>
      <w:r w:rsidR="00B77741">
        <w:t xml:space="preserve">anhängigen Verfassungsbeschwerden </w:t>
      </w:r>
      <w:r w:rsidR="006152D8">
        <w:t xml:space="preserve">(insbesondere zu </w:t>
      </w:r>
      <w:r w:rsidR="006152D8" w:rsidRPr="006152D8">
        <w:t xml:space="preserve">Aktenzeichen 1 </w:t>
      </w:r>
      <w:proofErr w:type="spellStart"/>
      <w:r w:rsidR="006152D8" w:rsidRPr="006152D8">
        <w:t>BvR</w:t>
      </w:r>
      <w:proofErr w:type="spellEnd"/>
      <w:r w:rsidR="006152D8" w:rsidRPr="006152D8">
        <w:t xml:space="preserve"> 304/22) </w:t>
      </w:r>
      <w:r w:rsidR="00B77741">
        <w:t xml:space="preserve">einstweilen </w:t>
      </w:r>
      <w:r w:rsidR="00B77741" w:rsidRPr="00370E98">
        <w:rPr>
          <w:b/>
        </w:rPr>
        <w:t>ruhend zu stellen.</w:t>
      </w:r>
      <w:r w:rsidR="00B77741">
        <w:t xml:space="preserve"> </w:t>
      </w:r>
    </w:p>
    <w:p w:rsidR="005217DA" w:rsidRDefault="005217DA" w:rsidP="00B77741">
      <w:pPr>
        <w:spacing w:before="120" w:after="120" w:line="360" w:lineRule="auto"/>
        <w:jc w:val="both"/>
      </w:pPr>
    </w:p>
    <w:p w:rsidR="005217DA" w:rsidRDefault="005217DA" w:rsidP="00B77741">
      <w:pPr>
        <w:spacing w:before="120" w:after="120" w:line="360" w:lineRule="auto"/>
        <w:jc w:val="both"/>
      </w:pPr>
      <w:r>
        <w:t>7.</w:t>
      </w:r>
    </w:p>
    <w:p w:rsidR="00947301" w:rsidRDefault="00947301" w:rsidP="00B77741">
      <w:pPr>
        <w:spacing w:before="120" w:after="120" w:line="360" w:lineRule="auto"/>
        <w:jc w:val="both"/>
      </w:pPr>
      <w:r>
        <w:t xml:space="preserve">Für den Fall, dass die </w:t>
      </w:r>
      <w:r w:rsidRPr="006875DA">
        <w:rPr>
          <w:b/>
        </w:rPr>
        <w:t>Anordnung des Sofortvollzuges</w:t>
      </w:r>
      <w:r>
        <w:t xml:space="preserve"> der Verfügung erwogen wird, erla</w:t>
      </w:r>
      <w:r>
        <w:t>u</w:t>
      </w:r>
      <w:r>
        <w:t>ben wir uns folgenden Hinweis:</w:t>
      </w:r>
    </w:p>
    <w:p w:rsidR="00947301" w:rsidRDefault="00CB7E36" w:rsidP="00B77741">
      <w:pPr>
        <w:spacing w:before="120" w:after="120" w:line="360" w:lineRule="auto"/>
        <w:jc w:val="both"/>
      </w:pPr>
      <w:r w:rsidRPr="00CB7E36">
        <w:t xml:space="preserve">In Fällen, in denen die </w:t>
      </w:r>
      <w:r w:rsidRPr="00DD730D">
        <w:rPr>
          <w:b/>
        </w:rPr>
        <w:t xml:space="preserve">sofortige Vollziehung </w:t>
      </w:r>
      <w:r w:rsidRPr="00CB7E36">
        <w:t>des angegriffenen Verwaltungsakts gemäß § 80 Abs. 2 Satz 1 Nr. 4 VwGO gesondert behördlich angeordnet wird, bedarf es eines beso</w:t>
      </w:r>
      <w:r w:rsidRPr="00CB7E36">
        <w:t>n</w:t>
      </w:r>
      <w:r w:rsidRPr="00CB7E36">
        <w:t>deren Vollzugsinteresses, das über das allgemeine öffentliche Interesse an der Herstellung rechtmäßiger Zustände, das den Verwaltungsakt selbst rechtfertigt, hinausgeht</w:t>
      </w:r>
      <w:r w:rsidR="00947301">
        <w:t xml:space="preserve"> (vgl. zur P</w:t>
      </w:r>
      <w:r w:rsidR="00947301">
        <w:t>a</w:t>
      </w:r>
      <w:r w:rsidR="00947301">
        <w:lastRenderedPageBreak/>
        <w:t xml:space="preserve">rallelsituation beim Masernschutz </w:t>
      </w:r>
      <w:r w:rsidR="00947301" w:rsidRPr="00947301">
        <w:t>OVG Sachsen-Anhalt, Beschluss vom 21.10.2021 - 3 M 134/21</w:t>
      </w:r>
      <w:r w:rsidR="00947301">
        <w:t xml:space="preserve">): </w:t>
      </w:r>
    </w:p>
    <w:p w:rsidR="00CB7E36" w:rsidRDefault="00CB7E36" w:rsidP="00B77741">
      <w:pPr>
        <w:spacing w:before="120" w:after="120" w:line="360" w:lineRule="auto"/>
        <w:jc w:val="both"/>
      </w:pPr>
      <w:r w:rsidRPr="00CB7E36">
        <w:t xml:space="preserve">Es müssen (weitere) besondere Umstände vorliegen, die eine sofortige Vollziehung des Verwaltungsaktes schon vor dem bestands- oder rechtskräftigen Abschluss der Hauptsache rechtfertigen (vgl. </w:t>
      </w:r>
      <w:proofErr w:type="spellStart"/>
      <w:r w:rsidRPr="00CB7E36">
        <w:t>HambOVG</w:t>
      </w:r>
      <w:proofErr w:type="spellEnd"/>
      <w:r w:rsidRPr="00CB7E36">
        <w:t xml:space="preserve">, Beschluss vom 2. Dezember 2020 - 2 </w:t>
      </w:r>
      <w:proofErr w:type="spellStart"/>
      <w:r w:rsidRPr="00CB7E36">
        <w:t>Bs</w:t>
      </w:r>
      <w:proofErr w:type="spellEnd"/>
      <w:r w:rsidRPr="00CB7E36">
        <w:t xml:space="preserve"> 207/20 - </w:t>
      </w:r>
      <w:proofErr w:type="spellStart"/>
      <w:r w:rsidRPr="00CB7E36">
        <w:t>juris</w:t>
      </w:r>
      <w:proofErr w:type="spellEnd"/>
      <w:r w:rsidRPr="00CB7E36">
        <w:t xml:space="preserve"> </w:t>
      </w:r>
      <w:proofErr w:type="spellStart"/>
      <w:r w:rsidRPr="00CB7E36">
        <w:t>Rn</w:t>
      </w:r>
      <w:proofErr w:type="spellEnd"/>
      <w:r w:rsidRPr="00CB7E36">
        <w:t xml:space="preserve">. 12). Dies gilt selbst bei offensichtlicher Erfolglosigkeit eines Rechtsbehelfs in der Hauptsache (vgl. z. B. </w:t>
      </w:r>
      <w:proofErr w:type="spellStart"/>
      <w:r w:rsidRPr="00CB7E36">
        <w:t>BayVGH</w:t>
      </w:r>
      <w:proofErr w:type="spellEnd"/>
      <w:r w:rsidRPr="00CB7E36">
        <w:t xml:space="preserve">, Beschluss vom 28. August 2020 - 12 CS 20.1750 - </w:t>
      </w:r>
      <w:proofErr w:type="spellStart"/>
      <w:r w:rsidRPr="00CB7E36">
        <w:t>juris</w:t>
      </w:r>
      <w:proofErr w:type="spellEnd"/>
      <w:r w:rsidRPr="00CB7E36">
        <w:t xml:space="preserve"> </w:t>
      </w:r>
      <w:proofErr w:type="spellStart"/>
      <w:r w:rsidRPr="00CB7E36">
        <w:t>Rn</w:t>
      </w:r>
      <w:proofErr w:type="spellEnd"/>
      <w:r w:rsidRPr="00CB7E36">
        <w:t>. 44). Denn die behördliche Vollzugsanordnung stellt lediglich eine Ausnahme vom Regelfall des § 80 Abs. 1 Satz 1 VwGO dar, wonach Widerspruch und Anfechtungsklage aufschiebende Wi</w:t>
      </w:r>
      <w:r w:rsidRPr="00CB7E36">
        <w:t>r</w:t>
      </w:r>
      <w:r w:rsidRPr="00CB7E36">
        <w:t>kung haben.</w:t>
      </w:r>
    </w:p>
    <w:p w:rsidR="00947301" w:rsidRDefault="00CB7E36" w:rsidP="00B77741">
      <w:pPr>
        <w:spacing w:before="120" w:after="120" w:line="360" w:lineRule="auto"/>
        <w:jc w:val="both"/>
      </w:pPr>
      <w:r w:rsidRPr="00CB7E36">
        <w:t>Mit der Vollziehung der streitgegenständlichen Aufforderung zur Vorlage eines Nachweises i. S. v. § 20</w:t>
      </w:r>
      <w:r w:rsidR="00947301">
        <w:t>a</w:t>
      </w:r>
      <w:r w:rsidRPr="00CB7E36">
        <w:t xml:space="preserve"> IfSG ist jedenfalls dann </w:t>
      </w:r>
      <w:r w:rsidR="00947301">
        <w:t>ein Eingriff in das durch Art. 2</w:t>
      </w:r>
      <w:r w:rsidRPr="00CB7E36">
        <w:t xml:space="preserve"> Abs. 2 Satz 1 GG g</w:t>
      </w:r>
      <w:r w:rsidRPr="00CB7E36">
        <w:t>e</w:t>
      </w:r>
      <w:r w:rsidRPr="00CB7E36">
        <w:t xml:space="preserve">schützte </w:t>
      </w:r>
      <w:r w:rsidR="00947301">
        <w:t xml:space="preserve">Recht auf </w:t>
      </w:r>
      <w:r w:rsidRPr="00CB7E36">
        <w:t>körperli</w:t>
      </w:r>
      <w:r w:rsidR="00947301">
        <w:t>che</w:t>
      </w:r>
      <w:r w:rsidRPr="00CB7E36">
        <w:t xml:space="preserve"> Unversehrtheit verbun</w:t>
      </w:r>
      <w:r w:rsidR="00947301">
        <w:t xml:space="preserve">den, wenn der Betroffene </w:t>
      </w:r>
      <w:r w:rsidRPr="00CB7E36">
        <w:t>noch nicht immun ge</w:t>
      </w:r>
      <w:r w:rsidR="00947301">
        <w:t>gen das SARS-CoV-2</w:t>
      </w:r>
      <w:r w:rsidRPr="00CB7E36">
        <w:t>-Virus ist und auch keine medizinische Kontraindikation g</w:t>
      </w:r>
      <w:r w:rsidRPr="00CB7E36">
        <w:t>e</w:t>
      </w:r>
      <w:r w:rsidR="00947301">
        <w:t>gen eine SARS-CoV-2-I</w:t>
      </w:r>
      <w:r w:rsidRPr="00CB7E36">
        <w:t xml:space="preserve">mpfung nachweisen kann. Denn in diesem Fall könnte der vom </w:t>
      </w:r>
      <w:r w:rsidR="00947301">
        <w:t>B</w:t>
      </w:r>
      <w:r w:rsidR="00947301">
        <w:t>e</w:t>
      </w:r>
      <w:r w:rsidR="00947301">
        <w:t xml:space="preserve">troffenen </w:t>
      </w:r>
      <w:r w:rsidRPr="00CB7E36">
        <w:t>geforderte Nachweis nur erbracht werden, wenn</w:t>
      </w:r>
      <w:r w:rsidR="00947301">
        <w:t xml:space="preserve"> er</w:t>
      </w:r>
      <w:r w:rsidRPr="00CB7E36">
        <w:t xml:space="preserve"> tatsächlich die nach § 20</w:t>
      </w:r>
      <w:r w:rsidR="00947301">
        <w:t xml:space="preserve">a </w:t>
      </w:r>
      <w:r w:rsidRPr="00CB7E36">
        <w:t xml:space="preserve"> IfSG als ausreichender Impfschutz gegen </w:t>
      </w:r>
      <w:r w:rsidR="00947301">
        <w:t xml:space="preserve">SARS-CoV-2 </w:t>
      </w:r>
      <w:r w:rsidRPr="00CB7E36">
        <w:t xml:space="preserve">angesehenen Schutzimpfungen erhalten hat. Dieser Grundrechtseingriff ließe sich für den Fall eines Erfolgs des vom </w:t>
      </w:r>
      <w:r w:rsidR="00947301">
        <w:t>Betroffenen ei</w:t>
      </w:r>
      <w:r w:rsidR="00947301">
        <w:t>n</w:t>
      </w:r>
      <w:r w:rsidR="00947301">
        <w:t xml:space="preserve">gelegten Widerspruchs </w:t>
      </w:r>
      <w:r w:rsidRPr="00CB7E36">
        <w:t xml:space="preserve">nicht wieder rückgängig machen. </w:t>
      </w:r>
    </w:p>
    <w:p w:rsidR="00E3002C" w:rsidRDefault="00CB7E36" w:rsidP="00B77741">
      <w:pPr>
        <w:spacing w:before="120" w:after="120" w:line="360" w:lineRule="auto"/>
        <w:jc w:val="both"/>
      </w:pPr>
      <w:r w:rsidRPr="00CB7E36">
        <w:t>Diesem Umstand ist im Rahmen der Abwägung bei der Frage, ob ein besonderes öffentl</w:t>
      </w:r>
      <w:r w:rsidRPr="00CB7E36">
        <w:t>i</w:t>
      </w:r>
      <w:r w:rsidRPr="00CB7E36">
        <w:t>ches Interesse die sofortige Vollziehung des streitgegenständlichen Bescheids vor einer rechtskräftigen Entscheidung im Hauptsacheverfahren rechtfertigt, ein besonderes Gewicht beizumessen, da irreversible Eingriffe in die körperliche Integrität des Grundrechtsbetroff</w:t>
      </w:r>
      <w:r w:rsidRPr="00CB7E36">
        <w:t>e</w:t>
      </w:r>
      <w:r w:rsidRPr="00CB7E36">
        <w:t>nen besonders schwerwie</w:t>
      </w:r>
      <w:r w:rsidR="00947301">
        <w:t>gend sind</w:t>
      </w:r>
      <w:r w:rsidR="00947301" w:rsidRPr="00947301">
        <w:t xml:space="preserve"> </w:t>
      </w:r>
    </w:p>
    <w:p w:rsidR="00D2478A" w:rsidRDefault="00E3002C" w:rsidP="003B51A1">
      <w:pPr>
        <w:spacing w:before="120" w:after="120" w:line="360" w:lineRule="auto"/>
        <w:jc w:val="both"/>
      </w:pPr>
      <w:r>
        <w:t xml:space="preserve">Für die </w:t>
      </w:r>
      <w:r w:rsidR="00947301" w:rsidRPr="00947301">
        <w:t xml:space="preserve">Parallelsituation beim Masernschutz </w:t>
      </w:r>
      <w:r>
        <w:t xml:space="preserve">hat das OVG Sachsen-Anhalt mit </w:t>
      </w:r>
      <w:r w:rsidR="00947301" w:rsidRPr="00947301">
        <w:t>Beschlu</w:t>
      </w:r>
      <w:r w:rsidR="00947301">
        <w:t>s</w:t>
      </w:r>
      <w:r>
        <w:t xml:space="preserve">s vom 21.10.2021 - 3 M 134/21 auf dieser Basis ein solches besonderes Vollzugsinteresse für die Aufforderung zur Vorlage eines Immunitätsnachweises verneint. Nichts anderes dürfte hier in Bezug auf die Aufforderung zur Vorlage eines Immunitätsnachweises gegen das SARS-CoV-2-Virus gelten, zumal mit Blick auf die geringe Schutzwirkung und insbesondere den nur gering ausgeprägten Fremdschutz der derzeit verfügbaren SARS-CoV-2-Impfstoffe.  </w:t>
      </w:r>
      <w:r w:rsidR="00B77741">
        <w:t xml:space="preserve">Mit freundlichen Grüßen </w:t>
      </w:r>
    </w:p>
    <w:p w:rsidR="00637372" w:rsidRDefault="00637372" w:rsidP="003B51A1">
      <w:pPr>
        <w:spacing w:before="120" w:after="120" w:line="360" w:lineRule="auto"/>
        <w:jc w:val="both"/>
      </w:pPr>
      <w:bookmarkStart w:id="1" w:name="_GoBack"/>
      <w:bookmarkEnd w:id="1"/>
    </w:p>
    <w:p w:rsidR="00E3002C" w:rsidRPr="00E3002C" w:rsidRDefault="00E3002C" w:rsidP="003B51A1">
      <w:pPr>
        <w:spacing w:before="120" w:after="120" w:line="360" w:lineRule="auto"/>
        <w:jc w:val="both"/>
        <w:rPr>
          <w:i/>
        </w:rPr>
      </w:pPr>
      <w:r w:rsidRPr="00E3002C">
        <w:rPr>
          <w:i/>
        </w:rPr>
        <w:t>(Datum und Unterschrift)</w:t>
      </w:r>
    </w:p>
    <w:sectPr w:rsidR="00E3002C" w:rsidRPr="00E3002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5" w:rsidRDefault="00C73695" w:rsidP="007D011F">
      <w:r>
        <w:separator/>
      </w:r>
    </w:p>
  </w:endnote>
  <w:endnote w:type="continuationSeparator" w:id="0">
    <w:p w:rsidR="00C73695" w:rsidRDefault="00C73695" w:rsidP="007D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A" w:rsidRDefault="005524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A" w:rsidRDefault="005524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A" w:rsidRDefault="005524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5" w:rsidRDefault="00C73695" w:rsidP="007D011F">
      <w:r>
        <w:separator/>
      </w:r>
    </w:p>
  </w:footnote>
  <w:footnote w:type="continuationSeparator" w:id="0">
    <w:p w:rsidR="00C73695" w:rsidRDefault="00C73695" w:rsidP="007D011F">
      <w:r>
        <w:continuationSeparator/>
      </w:r>
    </w:p>
  </w:footnote>
  <w:footnote w:id="1">
    <w:p w:rsidR="0055246A" w:rsidRDefault="0055246A">
      <w:pPr>
        <w:pStyle w:val="Funotentext"/>
      </w:pPr>
      <w:r>
        <w:rPr>
          <w:rStyle w:val="Funotenzeichen"/>
        </w:rPr>
        <w:footnoteRef/>
      </w:r>
      <w:r>
        <w:t xml:space="preserve"> </w:t>
      </w:r>
      <w:r w:rsidRPr="00DD730D">
        <w:rPr>
          <w:sz w:val="18"/>
          <w:szCs w:val="18"/>
        </w:rPr>
        <w:t>Manche Bundesländer  haben das Widerspruchsverfahren als Vorverfahren vor einer Klage in weiten Bereichen abgeschafft, so z.B. die Bundesländer Bayern, Niedersachsen, Nordrhein-Westfalen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A" w:rsidRDefault="005524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20"/>
        <w:szCs w:val="20"/>
      </w:rPr>
    </w:sdtEndPr>
    <w:sdtContent>
      <w:p w:rsidR="0055246A" w:rsidRPr="00893DDB" w:rsidRDefault="0055246A">
        <w:pPr>
          <w:pStyle w:val="Kopfzeile"/>
          <w:jc w:val="right"/>
          <w:rPr>
            <w:sz w:val="20"/>
            <w:szCs w:val="20"/>
          </w:rPr>
        </w:pPr>
        <w:r w:rsidRPr="00893DDB">
          <w:rPr>
            <w:sz w:val="20"/>
            <w:szCs w:val="20"/>
          </w:rPr>
          <w:t xml:space="preserve">Seite </w:t>
        </w:r>
        <w:r w:rsidRPr="00893DDB">
          <w:rPr>
            <w:b/>
            <w:bCs/>
            <w:sz w:val="20"/>
            <w:szCs w:val="20"/>
          </w:rPr>
          <w:fldChar w:fldCharType="begin"/>
        </w:r>
        <w:r w:rsidRPr="00893DDB">
          <w:rPr>
            <w:b/>
            <w:bCs/>
            <w:sz w:val="20"/>
            <w:szCs w:val="20"/>
          </w:rPr>
          <w:instrText>PAGE</w:instrText>
        </w:r>
        <w:r w:rsidRPr="00893DDB">
          <w:rPr>
            <w:b/>
            <w:bCs/>
            <w:sz w:val="20"/>
            <w:szCs w:val="20"/>
          </w:rPr>
          <w:fldChar w:fldCharType="separate"/>
        </w:r>
        <w:r w:rsidR="003A70EA">
          <w:rPr>
            <w:b/>
            <w:bCs/>
            <w:noProof/>
            <w:sz w:val="20"/>
            <w:szCs w:val="20"/>
          </w:rPr>
          <w:t>1</w:t>
        </w:r>
        <w:r w:rsidRPr="00893DDB">
          <w:rPr>
            <w:b/>
            <w:bCs/>
            <w:sz w:val="20"/>
            <w:szCs w:val="20"/>
          </w:rPr>
          <w:fldChar w:fldCharType="end"/>
        </w:r>
        <w:r w:rsidRPr="00893DDB">
          <w:rPr>
            <w:sz w:val="20"/>
            <w:szCs w:val="20"/>
          </w:rPr>
          <w:t xml:space="preserve"> von </w:t>
        </w:r>
        <w:r w:rsidRPr="00893DDB">
          <w:rPr>
            <w:b/>
            <w:bCs/>
            <w:sz w:val="20"/>
            <w:szCs w:val="20"/>
          </w:rPr>
          <w:fldChar w:fldCharType="begin"/>
        </w:r>
        <w:r w:rsidRPr="00893DDB">
          <w:rPr>
            <w:b/>
            <w:bCs/>
            <w:sz w:val="20"/>
            <w:szCs w:val="20"/>
          </w:rPr>
          <w:instrText>NUMPAGES</w:instrText>
        </w:r>
        <w:r w:rsidRPr="00893DDB">
          <w:rPr>
            <w:b/>
            <w:bCs/>
            <w:sz w:val="20"/>
            <w:szCs w:val="20"/>
          </w:rPr>
          <w:fldChar w:fldCharType="separate"/>
        </w:r>
        <w:r w:rsidR="003A70EA">
          <w:rPr>
            <w:b/>
            <w:bCs/>
            <w:noProof/>
            <w:sz w:val="20"/>
            <w:szCs w:val="20"/>
          </w:rPr>
          <w:t>9</w:t>
        </w:r>
        <w:r w:rsidRPr="00893DDB">
          <w:rPr>
            <w:b/>
            <w:bCs/>
            <w:sz w:val="20"/>
            <w:szCs w:val="20"/>
          </w:rPr>
          <w:fldChar w:fldCharType="end"/>
        </w:r>
      </w:p>
    </w:sdtContent>
  </w:sdt>
  <w:p w:rsidR="0055246A" w:rsidRDefault="0055246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A" w:rsidRDefault="005524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nutzer»" w:val="me"/>
    <w:docVar w:name="AutomatischSpeichern" w:val="0"/>
    <w:docVar w:name="betnr" w:val="2094"/>
    <w:docVar w:name="database" w:val="KELLER"/>
    <w:docVar w:name="history" w:val="Schreiben an Mandant (Maharishi Ayurveda Gesundheits-und Seminarzentrum Bad Ems GmbH)"/>
    <w:docVar w:name="kz" w:val="1"/>
    <w:docVar w:name="modified" w:val="1"/>
    <w:docVar w:name="musterschriftsatz" w:val="blanko.dat"/>
    <w:docVar w:name="nr" w:val="2021000372"/>
    <w:docVar w:name="speichern" w:val="ja"/>
    <w:docVar w:name="Status" w:val="nein"/>
  </w:docVars>
  <w:rsids>
    <w:rsidRoot w:val="00D2478A"/>
    <w:rsid w:val="000F0A6F"/>
    <w:rsid w:val="001C148C"/>
    <w:rsid w:val="001C6CEE"/>
    <w:rsid w:val="001F1D79"/>
    <w:rsid w:val="00211EA7"/>
    <w:rsid w:val="002A1A36"/>
    <w:rsid w:val="00316C57"/>
    <w:rsid w:val="003432BA"/>
    <w:rsid w:val="00370E98"/>
    <w:rsid w:val="003A70EA"/>
    <w:rsid w:val="003B51A1"/>
    <w:rsid w:val="003F380B"/>
    <w:rsid w:val="00506984"/>
    <w:rsid w:val="005217DA"/>
    <w:rsid w:val="0055246A"/>
    <w:rsid w:val="00561FB0"/>
    <w:rsid w:val="005F3799"/>
    <w:rsid w:val="006152D8"/>
    <w:rsid w:val="00637372"/>
    <w:rsid w:val="006649AC"/>
    <w:rsid w:val="006804E1"/>
    <w:rsid w:val="006875DA"/>
    <w:rsid w:val="00711BBE"/>
    <w:rsid w:val="00745419"/>
    <w:rsid w:val="0074705C"/>
    <w:rsid w:val="007D011F"/>
    <w:rsid w:val="007D7F6A"/>
    <w:rsid w:val="008271A2"/>
    <w:rsid w:val="00845C1C"/>
    <w:rsid w:val="00893DDB"/>
    <w:rsid w:val="009042F7"/>
    <w:rsid w:val="00914733"/>
    <w:rsid w:val="0092056E"/>
    <w:rsid w:val="00947301"/>
    <w:rsid w:val="0095659B"/>
    <w:rsid w:val="00993987"/>
    <w:rsid w:val="00A65A8C"/>
    <w:rsid w:val="00A663B6"/>
    <w:rsid w:val="00A76F4C"/>
    <w:rsid w:val="00A77625"/>
    <w:rsid w:val="00AE435E"/>
    <w:rsid w:val="00B66F36"/>
    <w:rsid w:val="00B77741"/>
    <w:rsid w:val="00B912B4"/>
    <w:rsid w:val="00BC593C"/>
    <w:rsid w:val="00C73695"/>
    <w:rsid w:val="00CB7E36"/>
    <w:rsid w:val="00CD38D1"/>
    <w:rsid w:val="00D17A7B"/>
    <w:rsid w:val="00D2478A"/>
    <w:rsid w:val="00D41CD8"/>
    <w:rsid w:val="00DB770B"/>
    <w:rsid w:val="00DC5EAB"/>
    <w:rsid w:val="00DD730D"/>
    <w:rsid w:val="00E26039"/>
    <w:rsid w:val="00E3002C"/>
    <w:rsid w:val="00F5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741"/>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detailsaddress-name">
    <w:name w:val="contact-details__address-name"/>
    <w:basedOn w:val="Standard"/>
    <w:rsid w:val="00B77741"/>
    <w:pPr>
      <w:spacing w:before="100" w:beforeAutospacing="1" w:after="100" w:afterAutospacing="1"/>
    </w:pPr>
    <w:rPr>
      <w:rFonts w:ascii="Times New Roman" w:hAnsi="Times New Roman"/>
      <w:sz w:val="24"/>
    </w:rPr>
  </w:style>
  <w:style w:type="paragraph" w:customStyle="1" w:styleId="contact-detailsaddress-street">
    <w:name w:val="contact-details__address-street"/>
    <w:basedOn w:val="Standard"/>
    <w:rsid w:val="00B77741"/>
    <w:pPr>
      <w:spacing w:before="100" w:beforeAutospacing="1" w:after="100" w:afterAutospacing="1"/>
    </w:pPr>
    <w:rPr>
      <w:rFonts w:ascii="Times New Roman" w:hAnsi="Times New Roman"/>
      <w:sz w:val="24"/>
    </w:rPr>
  </w:style>
  <w:style w:type="paragraph" w:customStyle="1" w:styleId="contact-detailsaddress-locality">
    <w:name w:val="contact-details__address-locality"/>
    <w:basedOn w:val="Standard"/>
    <w:rsid w:val="00B77741"/>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92056E"/>
    <w:rPr>
      <w:color w:val="0563C1" w:themeColor="hyperlink"/>
      <w:u w:val="single"/>
    </w:rPr>
  </w:style>
  <w:style w:type="paragraph" w:styleId="Funotentext">
    <w:name w:val="footnote text"/>
    <w:basedOn w:val="Standard"/>
    <w:link w:val="FunotentextZchn"/>
    <w:uiPriority w:val="99"/>
    <w:semiHidden/>
    <w:unhideWhenUsed/>
    <w:rsid w:val="007D011F"/>
    <w:rPr>
      <w:sz w:val="20"/>
      <w:szCs w:val="20"/>
    </w:rPr>
  </w:style>
  <w:style w:type="character" w:customStyle="1" w:styleId="FunotentextZchn">
    <w:name w:val="Fußnotentext Zchn"/>
    <w:basedOn w:val="Absatz-Standardschriftart"/>
    <w:link w:val="Funotentext"/>
    <w:uiPriority w:val="99"/>
    <w:semiHidden/>
    <w:rsid w:val="007D011F"/>
    <w:rPr>
      <w:rFonts w:ascii="Arial" w:hAnsi="Arial"/>
    </w:rPr>
  </w:style>
  <w:style w:type="character" w:styleId="Funotenzeichen">
    <w:name w:val="footnote reference"/>
    <w:basedOn w:val="Absatz-Standardschriftart"/>
    <w:uiPriority w:val="99"/>
    <w:semiHidden/>
    <w:unhideWhenUsed/>
    <w:rsid w:val="007D011F"/>
    <w:rPr>
      <w:vertAlign w:val="superscript"/>
    </w:rPr>
  </w:style>
  <w:style w:type="paragraph" w:styleId="Kopfzeile">
    <w:name w:val="header"/>
    <w:basedOn w:val="Standard"/>
    <w:link w:val="KopfzeileZchn"/>
    <w:uiPriority w:val="99"/>
    <w:unhideWhenUsed/>
    <w:rsid w:val="00893DDB"/>
    <w:pPr>
      <w:tabs>
        <w:tab w:val="center" w:pos="4536"/>
        <w:tab w:val="right" w:pos="9072"/>
      </w:tabs>
    </w:pPr>
  </w:style>
  <w:style w:type="character" w:customStyle="1" w:styleId="KopfzeileZchn">
    <w:name w:val="Kopfzeile Zchn"/>
    <w:basedOn w:val="Absatz-Standardschriftart"/>
    <w:link w:val="Kopfzeile"/>
    <w:uiPriority w:val="99"/>
    <w:rsid w:val="00893DDB"/>
    <w:rPr>
      <w:rFonts w:ascii="Arial" w:hAnsi="Arial"/>
      <w:sz w:val="22"/>
      <w:szCs w:val="24"/>
    </w:rPr>
  </w:style>
  <w:style w:type="paragraph" w:styleId="Fuzeile">
    <w:name w:val="footer"/>
    <w:basedOn w:val="Standard"/>
    <w:link w:val="FuzeileZchn"/>
    <w:uiPriority w:val="99"/>
    <w:unhideWhenUsed/>
    <w:rsid w:val="00893DDB"/>
    <w:pPr>
      <w:tabs>
        <w:tab w:val="center" w:pos="4536"/>
        <w:tab w:val="right" w:pos="9072"/>
      </w:tabs>
    </w:pPr>
  </w:style>
  <w:style w:type="character" w:customStyle="1" w:styleId="FuzeileZchn">
    <w:name w:val="Fußzeile Zchn"/>
    <w:basedOn w:val="Absatz-Standardschriftart"/>
    <w:link w:val="Fuzeile"/>
    <w:uiPriority w:val="99"/>
    <w:rsid w:val="00893DDB"/>
    <w:rPr>
      <w:rFonts w:ascii="Arial" w:hAnsi="Arial"/>
      <w:sz w:val="22"/>
      <w:szCs w:val="24"/>
    </w:rPr>
  </w:style>
  <w:style w:type="paragraph" w:styleId="Sprechblasentext">
    <w:name w:val="Balloon Text"/>
    <w:basedOn w:val="Standard"/>
    <w:link w:val="SprechblasentextZchn"/>
    <w:uiPriority w:val="99"/>
    <w:semiHidden/>
    <w:unhideWhenUsed/>
    <w:rsid w:val="00316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7741"/>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ct-detailsaddress-name">
    <w:name w:val="contact-details__address-name"/>
    <w:basedOn w:val="Standard"/>
    <w:rsid w:val="00B77741"/>
    <w:pPr>
      <w:spacing w:before="100" w:beforeAutospacing="1" w:after="100" w:afterAutospacing="1"/>
    </w:pPr>
    <w:rPr>
      <w:rFonts w:ascii="Times New Roman" w:hAnsi="Times New Roman"/>
      <w:sz w:val="24"/>
    </w:rPr>
  </w:style>
  <w:style w:type="paragraph" w:customStyle="1" w:styleId="contact-detailsaddress-street">
    <w:name w:val="contact-details__address-street"/>
    <w:basedOn w:val="Standard"/>
    <w:rsid w:val="00B77741"/>
    <w:pPr>
      <w:spacing w:before="100" w:beforeAutospacing="1" w:after="100" w:afterAutospacing="1"/>
    </w:pPr>
    <w:rPr>
      <w:rFonts w:ascii="Times New Roman" w:hAnsi="Times New Roman"/>
      <w:sz w:val="24"/>
    </w:rPr>
  </w:style>
  <w:style w:type="paragraph" w:customStyle="1" w:styleId="contact-detailsaddress-locality">
    <w:name w:val="contact-details__address-locality"/>
    <w:basedOn w:val="Standard"/>
    <w:rsid w:val="00B77741"/>
    <w:pPr>
      <w:spacing w:before="100" w:beforeAutospacing="1" w:after="100" w:afterAutospacing="1"/>
    </w:pPr>
    <w:rPr>
      <w:rFonts w:ascii="Times New Roman" w:hAnsi="Times New Roman"/>
      <w:sz w:val="24"/>
    </w:rPr>
  </w:style>
  <w:style w:type="character" w:styleId="Hyperlink">
    <w:name w:val="Hyperlink"/>
    <w:basedOn w:val="Absatz-Standardschriftart"/>
    <w:uiPriority w:val="99"/>
    <w:unhideWhenUsed/>
    <w:rsid w:val="0092056E"/>
    <w:rPr>
      <w:color w:val="0563C1" w:themeColor="hyperlink"/>
      <w:u w:val="single"/>
    </w:rPr>
  </w:style>
  <w:style w:type="paragraph" w:styleId="Funotentext">
    <w:name w:val="footnote text"/>
    <w:basedOn w:val="Standard"/>
    <w:link w:val="FunotentextZchn"/>
    <w:uiPriority w:val="99"/>
    <w:semiHidden/>
    <w:unhideWhenUsed/>
    <w:rsid w:val="007D011F"/>
    <w:rPr>
      <w:sz w:val="20"/>
      <w:szCs w:val="20"/>
    </w:rPr>
  </w:style>
  <w:style w:type="character" w:customStyle="1" w:styleId="FunotentextZchn">
    <w:name w:val="Fußnotentext Zchn"/>
    <w:basedOn w:val="Absatz-Standardschriftart"/>
    <w:link w:val="Funotentext"/>
    <w:uiPriority w:val="99"/>
    <w:semiHidden/>
    <w:rsid w:val="007D011F"/>
    <w:rPr>
      <w:rFonts w:ascii="Arial" w:hAnsi="Arial"/>
    </w:rPr>
  </w:style>
  <w:style w:type="character" w:styleId="Funotenzeichen">
    <w:name w:val="footnote reference"/>
    <w:basedOn w:val="Absatz-Standardschriftart"/>
    <w:uiPriority w:val="99"/>
    <w:semiHidden/>
    <w:unhideWhenUsed/>
    <w:rsid w:val="007D011F"/>
    <w:rPr>
      <w:vertAlign w:val="superscript"/>
    </w:rPr>
  </w:style>
  <w:style w:type="paragraph" w:styleId="Kopfzeile">
    <w:name w:val="header"/>
    <w:basedOn w:val="Standard"/>
    <w:link w:val="KopfzeileZchn"/>
    <w:uiPriority w:val="99"/>
    <w:unhideWhenUsed/>
    <w:rsid w:val="00893DDB"/>
    <w:pPr>
      <w:tabs>
        <w:tab w:val="center" w:pos="4536"/>
        <w:tab w:val="right" w:pos="9072"/>
      </w:tabs>
    </w:pPr>
  </w:style>
  <w:style w:type="character" w:customStyle="1" w:styleId="KopfzeileZchn">
    <w:name w:val="Kopfzeile Zchn"/>
    <w:basedOn w:val="Absatz-Standardschriftart"/>
    <w:link w:val="Kopfzeile"/>
    <w:uiPriority w:val="99"/>
    <w:rsid w:val="00893DDB"/>
    <w:rPr>
      <w:rFonts w:ascii="Arial" w:hAnsi="Arial"/>
      <w:sz w:val="22"/>
      <w:szCs w:val="24"/>
    </w:rPr>
  </w:style>
  <w:style w:type="paragraph" w:styleId="Fuzeile">
    <w:name w:val="footer"/>
    <w:basedOn w:val="Standard"/>
    <w:link w:val="FuzeileZchn"/>
    <w:uiPriority w:val="99"/>
    <w:unhideWhenUsed/>
    <w:rsid w:val="00893DDB"/>
    <w:pPr>
      <w:tabs>
        <w:tab w:val="center" w:pos="4536"/>
        <w:tab w:val="right" w:pos="9072"/>
      </w:tabs>
    </w:pPr>
  </w:style>
  <w:style w:type="character" w:customStyle="1" w:styleId="FuzeileZchn">
    <w:name w:val="Fußzeile Zchn"/>
    <w:basedOn w:val="Absatz-Standardschriftart"/>
    <w:link w:val="Fuzeile"/>
    <w:uiPriority w:val="99"/>
    <w:rsid w:val="00893DDB"/>
    <w:rPr>
      <w:rFonts w:ascii="Arial" w:hAnsi="Arial"/>
      <w:sz w:val="22"/>
      <w:szCs w:val="24"/>
    </w:rPr>
  </w:style>
  <w:style w:type="paragraph" w:styleId="Sprechblasentext">
    <w:name w:val="Balloon Text"/>
    <w:basedOn w:val="Standard"/>
    <w:link w:val="SprechblasentextZchn"/>
    <w:uiPriority w:val="99"/>
    <w:semiHidden/>
    <w:unhideWhenUsed/>
    <w:rsid w:val="00316C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viduelle-impfentscheidung.de/fileadmin/Downloads/Rechtsgutachten_einrichtungsbezogene_Impfpflicht.pdf" TargetMode="External"/><Relationship Id="rId13" Type="http://schemas.openxmlformats.org/officeDocument/2006/relationships/hyperlink" Target="https://www.rbb24.de/politik/thema/corona/beitraege/2022/05/berlin-impfpflicht-gesundheitswesen-nachverfolgung-larscheid.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bundesverfassungsgericht.de/SharedDocs/Entscheidungen/DE/2022/04/rs20220427_1bvr264921.html;jsessionid=DAFFCFFD84428547B91EABADAE057A7E.1_cid344" TargetMode="External"/><Relationship Id="rId12" Type="http://schemas.openxmlformats.org/officeDocument/2006/relationships/hyperlink" Target="https://www.rbb24.de/politik/thema/corona/beitraege/2022/05/berlin-impfpflicht-gesundheitswesen-nachverfolgung-larscheid.html"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lto.de/recht/nachrichten/n/einrichtungsbezogene-impfpflicht-corona-bverfg-1-bvr-2649-21/" TargetMode="External"/><Relationship Id="rId5" Type="http://schemas.openxmlformats.org/officeDocument/2006/relationships/footnotes" Target="footnotes.xml"/><Relationship Id="rId15" Type="http://schemas.openxmlformats.org/officeDocument/2006/relationships/hyperlink" Target="https://www.ms.niedersachsen.de/startseite/service_kontakt/presseinformationen/weniger-als-funf-prozent-nicht-geimpfte-im-gesundheitswesen-211324.html" TargetMode="External"/><Relationship Id="rId23" Type="http://schemas.openxmlformats.org/officeDocument/2006/relationships/theme" Target="theme/theme1.xml"/><Relationship Id="rId10" Type="http://schemas.openxmlformats.org/officeDocument/2006/relationships/hyperlink" Target="https://verfassungsblog.de/abschied-von-der-verhaltnismasigke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undesverfassungsgericht.de/SharedDocs/Entscheidungen/DE/2022/04/rs20220427_1bvr264921.html;jsessionid=DAFFCFFD84428547B91EABADAE057A7E.1_cid344" TargetMode="External"/><Relationship Id="rId14" Type="http://schemas.openxmlformats.org/officeDocument/2006/relationships/hyperlink" Target="https://www.bibliomed-pflege.de/news/bayern-kuendigt-milde-strafen-fuer-verstoesse-a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3146</Words>
  <Characters>19825</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Textvorlage 22-03-15.docx</vt:lpstr>
    </vt:vector>
  </TitlesOfParts>
  <Company>Advo-web GmbH</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Textvorlage 22-03-15.docx</dc:title>
  <dc:creator>Kerstin Meidlinger</dc:creator>
  <cp:keywords>2022000074</cp:keywords>
  <cp:lastModifiedBy>Jan Matthias Hesse</cp:lastModifiedBy>
  <cp:revision>5</cp:revision>
  <cp:lastPrinted>2022-05-29T15:59:00Z</cp:lastPrinted>
  <dcterms:created xsi:type="dcterms:W3CDTF">2022-05-29T22:18:00Z</dcterms:created>
  <dcterms:modified xsi:type="dcterms:W3CDTF">2022-05-29T22:35:00Z</dcterms:modified>
</cp:coreProperties>
</file>