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b/>
          <w:bCs/>
          <w:sz w:val="24"/>
          <w:szCs w:val="24"/>
          <w:lang w:eastAsia="de-DE"/>
        </w:rPr>
        <w:t>An die</w:t>
      </w:r>
      <w:r>
        <w:rPr>
          <w:rFonts w:ascii="Arial" w:eastAsia="Times New Roman" w:hAnsi="Arial" w:cs="Arial"/>
          <w:b/>
          <w:bCs/>
          <w:sz w:val="24"/>
          <w:szCs w:val="24"/>
          <w:lang w:eastAsia="de-DE"/>
        </w:rPr>
        <w:br/>
        <w:t xml:space="preserve">Kassenärztliche Vereinigung </w:t>
      </w:r>
      <w:r>
        <w:rPr>
          <w:rFonts w:ascii="Arial" w:eastAsia="Times New Roman" w:hAnsi="Arial" w:cs="Arial"/>
          <w:b/>
          <w:bCs/>
          <w:sz w:val="24"/>
          <w:szCs w:val="24"/>
          <w:highlight w:val="yellow"/>
          <w:lang w:eastAsia="de-DE"/>
        </w:rPr>
        <w:t>…….</w:t>
      </w:r>
    </w:p>
    <w:p>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highlight w:val="yellow"/>
          <w:lang w:eastAsia="de-DE"/>
        </w:rPr>
        <w:t>[Anschrift]</w:t>
      </w:r>
    </w:p>
    <w:p>
      <w:pPr>
        <w:spacing w:before="100" w:beforeAutospacing="1" w:after="100" w:afterAutospacing="1" w:line="240" w:lineRule="auto"/>
        <w:rPr>
          <w:rFonts w:ascii="Arial" w:eastAsia="Times New Roman" w:hAnsi="Arial" w:cs="Arial"/>
          <w:b/>
          <w:bCs/>
          <w:sz w:val="24"/>
          <w:szCs w:val="24"/>
          <w:lang w:eastAsia="de-DE"/>
        </w:rPr>
      </w:pPr>
    </w:p>
    <w:p>
      <w:pPr>
        <w:spacing w:before="100" w:beforeAutospacing="1" w:after="100" w:afterAutospacing="1" w:line="240" w:lineRule="auto"/>
        <w:rPr>
          <w:rFonts w:ascii="Arial" w:eastAsia="Times New Roman" w:hAnsi="Arial" w:cs="Arial"/>
          <w:b/>
          <w:bCs/>
          <w:sz w:val="24"/>
          <w:szCs w:val="24"/>
          <w:lang w:eastAsia="de-DE"/>
        </w:rPr>
      </w:pPr>
      <w:bookmarkStart w:id="0" w:name="_GoBack"/>
      <w:bookmarkEnd w:id="0"/>
    </w:p>
    <w:p>
      <w:pPr>
        <w:spacing w:before="100" w:beforeAutospacing="1" w:after="100" w:afterAutospacing="1" w:line="240" w:lineRule="auto"/>
        <w:rPr>
          <w:rFonts w:ascii="Arial" w:eastAsia="Times New Roman" w:hAnsi="Arial" w:cs="Arial"/>
          <w:b/>
          <w:bCs/>
          <w:sz w:val="24"/>
          <w:szCs w:val="24"/>
          <w:lang w:eastAsia="de-DE"/>
        </w:rPr>
      </w:pPr>
      <w:r>
        <w:rPr>
          <w:rFonts w:ascii="Arial" w:eastAsia="Times New Roman" w:hAnsi="Arial" w:cs="Arial"/>
          <w:b/>
          <w:bCs/>
          <w:sz w:val="24"/>
          <w:szCs w:val="24"/>
          <w:lang w:eastAsia="de-DE"/>
        </w:rPr>
        <w:t>Betreff: Widerspruch gegen den Honorarbescheid für das 1. Quartal 2026 – Vorhaltepauschale GOP 03040 / Impfquotenkriterium</w:t>
      </w:r>
    </w:p>
    <w:p>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b/>
          <w:bCs/>
          <w:sz w:val="24"/>
          <w:szCs w:val="24"/>
          <w:lang w:eastAsia="de-DE"/>
        </w:rPr>
        <w:t xml:space="preserve">LANR </w:t>
      </w:r>
      <w:r>
        <w:rPr>
          <w:rFonts w:ascii="Arial" w:eastAsia="Times New Roman" w:hAnsi="Arial" w:cs="Arial"/>
          <w:b/>
          <w:bCs/>
          <w:sz w:val="24"/>
          <w:szCs w:val="24"/>
          <w:highlight w:val="yellow"/>
          <w:lang w:eastAsia="de-DE"/>
        </w:rPr>
        <w:t>….</w:t>
      </w:r>
      <w:r>
        <w:rPr>
          <w:rFonts w:ascii="Arial" w:eastAsia="Times New Roman" w:hAnsi="Arial" w:cs="Arial"/>
          <w:b/>
          <w:bCs/>
          <w:sz w:val="24"/>
          <w:szCs w:val="24"/>
          <w:lang w:eastAsia="de-DE"/>
        </w:rPr>
        <w:t xml:space="preserve"> / BSNR </w:t>
      </w:r>
      <w:r>
        <w:rPr>
          <w:rFonts w:ascii="Arial" w:eastAsia="Times New Roman" w:hAnsi="Arial" w:cs="Arial"/>
          <w:b/>
          <w:bCs/>
          <w:sz w:val="24"/>
          <w:szCs w:val="24"/>
          <w:highlight w:val="yellow"/>
          <w:lang w:eastAsia="de-DE"/>
        </w:rPr>
        <w:t>……</w:t>
      </w:r>
    </w:p>
    <w:p>
      <w:pPr>
        <w:spacing w:before="100" w:beforeAutospacing="1" w:after="100" w:afterAutospacing="1" w:line="240" w:lineRule="auto"/>
        <w:rPr>
          <w:rFonts w:ascii="Arial" w:eastAsia="Times New Roman" w:hAnsi="Arial" w:cs="Arial"/>
          <w:sz w:val="24"/>
          <w:szCs w:val="24"/>
          <w:lang w:eastAsia="de-DE"/>
        </w:rPr>
      </w:pPr>
    </w:p>
    <w:p>
      <w:pPr>
        <w:spacing w:before="100" w:beforeAutospacing="1" w:after="100" w:afterAutospacing="1" w:line="240" w:lineRule="auto"/>
        <w:rPr>
          <w:rFonts w:ascii="Arial" w:eastAsia="Times New Roman" w:hAnsi="Arial" w:cs="Arial"/>
          <w:sz w:val="24"/>
          <w:szCs w:val="24"/>
          <w:lang w:eastAsia="de-DE"/>
        </w:rPr>
      </w:pPr>
      <w:r>
        <w:rPr>
          <w:rFonts w:ascii="Arial" w:eastAsia="Times New Roman" w:hAnsi="Arial" w:cs="Arial"/>
          <w:sz w:val="24"/>
          <w:szCs w:val="24"/>
          <w:lang w:eastAsia="de-DE"/>
        </w:rPr>
        <w:t>Sehr geehrte Damen und Herren,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hiermit lege ich gegen den Honorarbescheid der Kassenärztlichen Vereinigung </w:t>
      </w:r>
      <w:r>
        <w:rPr>
          <w:rFonts w:ascii="Arial" w:eastAsia="Times New Roman" w:hAnsi="Arial" w:cs="Arial"/>
          <w:sz w:val="24"/>
          <w:szCs w:val="24"/>
          <w:highlight w:val="yellow"/>
          <w:lang w:eastAsia="de-DE"/>
        </w:rPr>
        <w:t>…………….</w:t>
      </w:r>
      <w:r>
        <w:rPr>
          <w:rFonts w:ascii="Arial" w:eastAsia="Times New Roman" w:hAnsi="Arial" w:cs="Arial"/>
          <w:sz w:val="24"/>
          <w:szCs w:val="24"/>
          <w:lang w:eastAsia="de-DE"/>
        </w:rPr>
        <w:t xml:space="preserve">  für das </w:t>
      </w:r>
      <w:r>
        <w:rPr>
          <w:rFonts w:ascii="Arial" w:eastAsia="Times New Roman" w:hAnsi="Arial" w:cs="Arial"/>
          <w:b/>
          <w:bCs/>
          <w:sz w:val="24"/>
          <w:szCs w:val="24"/>
          <w:lang w:eastAsia="de-DE"/>
        </w:rPr>
        <w:t>1. Quartal 2026</w:t>
      </w:r>
      <w:r>
        <w:rPr>
          <w:rFonts w:ascii="Arial" w:eastAsia="Times New Roman" w:hAnsi="Arial" w:cs="Arial"/>
          <w:sz w:val="24"/>
          <w:szCs w:val="24"/>
          <w:lang w:eastAsia="de-DE"/>
        </w:rPr>
        <w:t xml:space="preserve"> vom </w:t>
      </w:r>
      <w:r>
        <w:rPr>
          <w:rFonts w:ascii="Arial" w:eastAsia="Times New Roman" w:hAnsi="Arial" w:cs="Arial"/>
          <w:sz w:val="24"/>
          <w:szCs w:val="24"/>
          <w:highlight w:val="yellow"/>
          <w:lang w:eastAsia="de-DE"/>
        </w:rPr>
        <w:t>[Datum],</w:t>
      </w:r>
      <w:r>
        <w:rPr>
          <w:rFonts w:ascii="Arial" w:eastAsia="Times New Roman" w:hAnsi="Arial" w:cs="Arial"/>
          <w:sz w:val="24"/>
          <w:szCs w:val="24"/>
          <w:lang w:eastAsia="de-DE"/>
        </w:rPr>
        <w:t xml:space="preserve"> Abrechnungsnummer </w:t>
      </w:r>
      <w:r>
        <w:rPr>
          <w:rFonts w:ascii="Arial" w:eastAsia="Times New Roman" w:hAnsi="Arial" w:cs="Arial"/>
          <w:sz w:val="24"/>
          <w:szCs w:val="24"/>
          <w:highlight w:val="yellow"/>
          <w:lang w:eastAsia="de-DE"/>
        </w:rPr>
        <w:t>[……. ],</w:t>
      </w:r>
      <w:r>
        <w:rPr>
          <w:rFonts w:ascii="Arial" w:eastAsia="Times New Roman" w:hAnsi="Arial" w:cs="Arial"/>
          <w:sz w:val="24"/>
          <w:szCs w:val="24"/>
          <w:lang w:eastAsia="de-DE"/>
        </w:rPr>
        <w:t xml:space="preserve"> hinsichtlich der Festsetzung der Vorhaltepauschale nach GOP 03040 sowie der hierauf beruhenden Vergütungsminderung</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center"/>
        <w:rPr>
          <w:rFonts w:ascii="Arial" w:eastAsia="Times New Roman" w:hAnsi="Arial" w:cs="Arial"/>
          <w:sz w:val="28"/>
          <w:szCs w:val="28"/>
          <w:lang w:eastAsia="de-DE"/>
        </w:rPr>
      </w:pPr>
      <w:r>
        <w:rPr>
          <w:rFonts w:ascii="Arial" w:eastAsia="Times New Roman" w:hAnsi="Arial" w:cs="Arial"/>
          <w:b/>
          <w:bCs/>
          <w:sz w:val="28"/>
          <w:szCs w:val="28"/>
          <w:lang w:eastAsia="de-DE"/>
        </w:rPr>
        <w:t>Widerspruch</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Widerspruch richtet sich insbesondere gegen die Berücksichtigung der im EBM vorgesehenen Mindestanzahl bzw. Mindestquote von Schutzimpfungen als Voraussetzung bzw. Kürzungstatbestand für die Vorhaltepauschale.</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Ich beantrage,</w:t>
      </w:r>
    </w:p>
    <w:p>
      <w:pPr>
        <w:numPr>
          <w:ilvl w:val="0"/>
          <w:numId w:val="1"/>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den Honorarbescheid hinsichtlich der Vorhaltepauschale zu überprüfen und unter Außerachtlassung des Impfquotenkriteriums neu zu berechnen,</w:t>
      </w:r>
    </w:p>
    <w:p>
      <w:pPr>
        <w:numPr>
          <w:ilvl w:val="0"/>
          <w:numId w:val="1"/>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Vorhaltepauschale nach GOP 03040 ohne den aufgrund der Impfzahl meiner Praxis vorgenommenen Abschlag festzusetzen bzw. den entsprechenden Vergütungsanspruch nachzuberechnen,</w:t>
      </w:r>
    </w:p>
    <w:p>
      <w:pPr>
        <w:numPr>
          <w:ilvl w:val="0"/>
          <w:numId w:val="1"/>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hilfsweise das Widerspruchsverfahren bis zu einer verbindlichen Klärung der Rechtmäßigkeit der zugrunde liegenden Beschlüsse des Bewertungsausschusses ruhend zu stellen,</w:t>
      </w:r>
    </w:p>
    <w:p>
      <w:pPr>
        <w:numPr>
          <w:ilvl w:val="0"/>
          <w:numId w:val="1"/>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mir die für die Entscheidung über den Widerspruch maßgeblichen Berechnungsgrundlagen sowie insbesondere die konkrete Rechtsgrundlage und Begründung für die Anwendung des Impfquotenkriteriums auf meine Praxis mitzuteilen.</w:t>
      </w:r>
    </w:p>
    <w:p>
      <w:pPr>
        <w:spacing w:before="100" w:beforeAutospacing="1" w:after="100" w:afterAutospacing="1" w:line="240" w:lineRule="auto"/>
        <w:jc w:val="center"/>
        <w:rPr>
          <w:rFonts w:ascii="Arial" w:eastAsia="Times New Roman" w:hAnsi="Arial" w:cs="Arial"/>
          <w:b/>
          <w:bCs/>
          <w:sz w:val="28"/>
          <w:szCs w:val="28"/>
          <w:lang w:eastAsia="de-DE"/>
        </w:rPr>
      </w:pPr>
    </w:p>
    <w:p>
      <w:pPr>
        <w:spacing w:before="100" w:beforeAutospacing="1" w:after="100" w:afterAutospacing="1" w:line="240" w:lineRule="auto"/>
        <w:jc w:val="center"/>
        <w:rPr>
          <w:rFonts w:ascii="Arial" w:eastAsia="Times New Roman" w:hAnsi="Arial" w:cs="Arial"/>
          <w:b/>
          <w:bCs/>
          <w:sz w:val="28"/>
          <w:szCs w:val="28"/>
          <w:lang w:eastAsia="de-DE"/>
        </w:rPr>
      </w:pPr>
    </w:p>
    <w:p>
      <w:pPr>
        <w:spacing w:before="100" w:beforeAutospacing="1" w:after="100" w:afterAutospacing="1" w:line="240" w:lineRule="auto"/>
        <w:rPr>
          <w:rFonts w:ascii="Arial" w:eastAsia="Times New Roman" w:hAnsi="Arial" w:cs="Arial"/>
          <w:b/>
          <w:bCs/>
          <w:sz w:val="28"/>
          <w:szCs w:val="28"/>
          <w:lang w:eastAsia="de-DE"/>
        </w:rPr>
      </w:pPr>
    </w:p>
    <w:p>
      <w:pPr>
        <w:spacing w:before="100" w:beforeAutospacing="1" w:after="100" w:afterAutospacing="1" w:line="240" w:lineRule="auto"/>
        <w:jc w:val="center"/>
        <w:rPr>
          <w:rFonts w:ascii="Arial" w:eastAsia="Times New Roman" w:hAnsi="Arial" w:cs="Arial"/>
          <w:sz w:val="28"/>
          <w:szCs w:val="28"/>
          <w:lang w:eastAsia="de-DE"/>
        </w:rPr>
      </w:pPr>
      <w:r>
        <w:rPr>
          <w:rFonts w:ascii="Arial" w:eastAsia="Times New Roman" w:hAnsi="Arial" w:cs="Arial"/>
          <w:b/>
          <w:bCs/>
          <w:sz w:val="28"/>
          <w:szCs w:val="28"/>
          <w:lang w:eastAsia="de-DE"/>
        </w:rPr>
        <w:t>Begründung</w:t>
      </w: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I. Ausgangspunkt: Zweck und gesetzlicher Regelungsauftrag der Vorhaltepauschale</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zum 1. Januar 2026 neu gefasste Vorhaltepauschale nach GOP 03040 dient nach ihrer gesetzlichen Konzeption der Vergütung der Vorhaltung der zur Erfüllung der Aufgaben der hausärztlichen Grundversorgung notwendigen Strukturen.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Rechtsgrundlage ist § 87 Abs. 2q SGB V. Danach hat der Bewertungsausschuss Regelungen über eine Vergütung zur Vorhaltung der zur Erfüllung von Aufgaben der hausärztlichen Grundversorgung notwendigen Strukturen sowie insbesondere über Voraussetzungen für die Abrechnung dieser Vorhaltepauschale zu beschließen. Der Gesetzgeber nennt als Beispiele insbesondere eine bedarfsgerechte Versorgung mit Haus- und Pflegeheimbesuchen, bedarfsgerechte Praxisöffnungszeiten, die vorrangige Erbringung hausärztlicher Leistungen, eine Mindestanzahl zu versorgender Versicherter sowie die regelmäßige Nutzung von Anwendungen der Telematikinfrastruktur.</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gesetzliche Auftrag ist damit nicht grenzenlos. Die Voraussetzungen müssen sich vielmehr ihrem Gegenstand und ihrer Funktion nach auf die Vorhaltung der notwendigen hausärztlichen Versorgungsstrukturen beziehen.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Zwar verwendet § 87 Abs. 2q SGB V mit dem Wort „insbesondere“ eine offene Formulierung. Dies bedeutet jedoch nicht, dass der Bewertungsausschuss beliebige leistungs- oder versorgungspolitische Zielvorgaben mit einer Kürzung der Vorhaltepauschale verknüpfen dürfte. Auch ein weit gefasster Regelungsauftrag unterliegt den gesetzlichen Grenzen, dem Gleichbehandlungsgebot, dem Verhältnismäßigkeitsgrundsatz sowie dem Sachlichkeitsgebot.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Gerade daran bestehen hinsichtlich des Impfquotenkriteriums erhebliche Zweifel.</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II. Das Impfquotenkriterium weist keinen hinreichenden Zusammenhang mit der Vorhaltung von Praxisstrukturen auf</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Die Vorhaltepauschale ist ihrem Wesen nach eine </w:t>
      </w:r>
      <w:r>
        <w:rPr>
          <w:rFonts w:ascii="Arial" w:eastAsia="Times New Roman" w:hAnsi="Arial" w:cs="Arial"/>
          <w:b/>
          <w:bCs/>
          <w:sz w:val="24"/>
          <w:szCs w:val="24"/>
          <w:lang w:eastAsia="de-DE"/>
        </w:rPr>
        <w:t>Strukturvergütung</w:t>
      </w:r>
      <w:r>
        <w:rPr>
          <w:rFonts w:ascii="Arial" w:eastAsia="Times New Roman" w:hAnsi="Arial" w:cs="Arial"/>
          <w:sz w:val="24"/>
          <w:szCs w:val="24"/>
          <w:lang w:eastAsia="de-DE"/>
        </w:rPr>
        <w: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Vergütet werden soll danach nicht primär die Anzahl bestimmter medizinischer Einzelleistungen, sondern die dauerhafte Vorhaltung der personellen, organisatorischen, räumlichen und technischen Voraussetzungen, die eine hausärztliche Grundversorgung ermöglichen.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lastRenderedPageBreak/>
        <w:t>Die im EBM vorgesehenen Kriterien für den Zuschlag lassen sich grundsätzlich noch als Indikatoren für eine solche strukturelle bzw. versorgungsbezogene Vorhaltung verstehen.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Dies gilt beispielsweise für:</w:t>
      </w:r>
    </w:p>
    <w:p>
      <w:pPr>
        <w:numPr>
          <w:ilvl w:val="0"/>
          <w:numId w:val="2"/>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Haus- und Pflegeheimbesuche,</w:t>
      </w:r>
    </w:p>
    <w:p>
      <w:pPr>
        <w:numPr>
          <w:ilvl w:val="0"/>
          <w:numId w:val="2"/>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bedarfsgerechte Praxisöffnungszeiten,</w:t>
      </w:r>
    </w:p>
    <w:p>
      <w:pPr>
        <w:numPr>
          <w:ilvl w:val="0"/>
          <w:numId w:val="2"/>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Kooperationen mit Pflegeeinrichtungen,</w:t>
      </w:r>
    </w:p>
    <w:p>
      <w:pPr>
        <w:numPr>
          <w:ilvl w:val="0"/>
          <w:numId w:val="2"/>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Möglichkeit einer Videosprechstunde,</w:t>
      </w:r>
    </w:p>
    <w:p>
      <w:pPr>
        <w:numPr>
          <w:ilvl w:val="0"/>
          <w:numId w:val="2"/>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Qualitätszirkel bzw. fachgleiche Kooperation,</w:t>
      </w:r>
    </w:p>
    <w:p>
      <w:pPr>
        <w:numPr>
          <w:ilvl w:val="0"/>
          <w:numId w:val="2"/>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Vorhaltung bestimmter hausärztlicher diagnostischer und therapeutischer Angebote.</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Bei diesen Kriterien besteht jedenfalls ein nachvollziehbarer Zusammenhang zwischen dem tatsächlichen Versorgungsangebot einer Praxis und der Frage, ob und in welchem Umfang hausärztliche Versorgungsstrukturen vorgehalten werden.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Anders verhält es sich mit der </w:t>
      </w:r>
      <w:r>
        <w:rPr>
          <w:rFonts w:ascii="Arial" w:eastAsia="Times New Roman" w:hAnsi="Arial" w:cs="Arial"/>
          <w:b/>
          <w:bCs/>
          <w:sz w:val="24"/>
          <w:szCs w:val="24"/>
          <w:lang w:eastAsia="de-DE"/>
        </w:rPr>
        <w:t>bloßen Anzahl durchgeführter Schutzimpfungen</w:t>
      </w:r>
      <w:r>
        <w:rPr>
          <w:rFonts w:ascii="Arial" w:eastAsia="Times New Roman" w:hAnsi="Arial" w:cs="Arial"/>
          <w:sz w:val="24"/>
          <w:szCs w:val="24"/>
          <w:lang w:eastAsia="de-DE"/>
        </w:rPr>
        <w: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Anzahl der Impfungen ist kein verlässlicher Indikator dafür, welche Strukturen eine hausärztliche Praxis vorhält. Eine Praxis kann sämtliche für eine hochwertige hausärztliche Grundversorgung erforderlichen Strukturen vorhalten und dennoch eine vergleichsweise geringe Zahl an Impfungen durchführen.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Impfzahl hängt nämlich in erheblichem Umfang von Faktoren ab, die außerhalb des strukturellen Verantwortungsbereichs des Vertragsarztes liegen, insbesondere von:</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Alters- und Risikostruktur des Patientenstamms,</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individuellen medizinischen Indikation,</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dem bereits bestehenden Impfstatus der Patienten,</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Bereitschaft der Patienten, eine Impfung durchführen zu lassen,</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Nachfrage nach Impfleistungen,</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saisonalen Verteilung bestimmter Impfungen,</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konkurrierenden oder ergänzenden Impfangeboten anderer Leistungserbringer,</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Versorgung durch Betriebsärzte, Gesundheitsämter, Impfzentren oder andere Einrichtungen,</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individuellen Kontraindikationen oder sonstigen medizinischen Gründen,</w:t>
      </w:r>
    </w:p>
    <w:p>
      <w:pPr>
        <w:numPr>
          <w:ilvl w:val="0"/>
          <w:numId w:val="3"/>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regional unterschiedlichen Nachfrage und epidemiologischen Situation.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Hinzukommt, dass Impfungen sowieso extrabudgetär vergütet werden. </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Damit wird im Rahmen der Vorhaltepauschale nicht die </w:t>
      </w:r>
      <w:r>
        <w:rPr>
          <w:rFonts w:ascii="Arial" w:eastAsia="Times New Roman" w:hAnsi="Arial" w:cs="Arial"/>
          <w:b/>
          <w:bCs/>
          <w:sz w:val="24"/>
          <w:szCs w:val="24"/>
          <w:lang w:eastAsia="de-DE"/>
        </w:rPr>
        <w:t>Vorhaltung einer Struktur</w:t>
      </w:r>
      <w:r>
        <w:rPr>
          <w:rFonts w:ascii="Arial" w:eastAsia="Times New Roman" w:hAnsi="Arial" w:cs="Arial"/>
          <w:sz w:val="24"/>
          <w:szCs w:val="24"/>
          <w:lang w:eastAsia="de-DE"/>
        </w:rPr>
        <w:t xml:space="preserve">, sondern in erheblichem Umfang das </w:t>
      </w:r>
      <w:r>
        <w:rPr>
          <w:rFonts w:ascii="Arial" w:eastAsia="Times New Roman" w:hAnsi="Arial" w:cs="Arial"/>
          <w:b/>
          <w:bCs/>
          <w:sz w:val="24"/>
          <w:szCs w:val="24"/>
          <w:lang w:eastAsia="de-DE"/>
        </w:rPr>
        <w:t>Ergebnis eines Nachfrage- und Patientengeschehens</w:t>
      </w:r>
      <w:r>
        <w:rPr>
          <w:rFonts w:ascii="Arial" w:eastAsia="Times New Roman" w:hAnsi="Arial" w:cs="Arial"/>
          <w:sz w:val="24"/>
          <w:szCs w:val="24"/>
          <w:lang w:eastAsia="de-DE"/>
        </w:rPr>
        <w:t xml:space="preserve"> zum Maßstab der Vergütung gemacht.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Eine geringe Impfzahl bedeutet deshalb nicht, dass die Praxis keine geeigneten Strukturen für die hausärztliche Grundversorgung vorhält.</w:t>
      </w: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lastRenderedPageBreak/>
        <w:t>III. Unzulässige Vermischung von Strukturförderung und gesundheitspolitischer Zielsteuerung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Regelung erscheint vielmehr als Instrument, mit dem neben der eigentlichen Vergütung der Vorhaltung ein zusätzliches gesundheitspolitisches Ziel verfolgt wird, nämlich eine Steigerung der Zahl der durchgeführten Schutzimpfungen.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Dies wird bereits dadurch deutlich, dass die Vergütung der Vorhaltepauschale an eine konkrete Mindestzahl bzw. Mindestquote von Impfleistungen geknüpft wird und bei Unterschreitung ein erheblicher finanzieller Nachteil eintritt.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Konstruktion erzeugt damit einen wirtschaftlichen Anreiz, eine bestimmte Zahl von Impfungen zu erreichen.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 solcher gesundheitspolitischer Anreiz bedarf jedoch – unabhängig von der Frage seiner Sinnhaftigkeit – jedenfalls einer eigenständigen gesetzlichen und sachlichen Rechtfertigung. Er darf nicht ohne Weiteres unter dem Etikett einer „Vorhaltepauschale“ in eine Vergütung integriert werden, deren eigentlicher Gegenstand die Vorhaltung von Versorgungsstrukturen ist.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Bewertungsausschuss selbst begründet die Impfregelung lediglich damit, dass „Schutzimpfungen zur hausärztlichen Grundversorgung zählen“. Diese Begründung beantwortet jedoch nicht die entscheidende Frage, warum die Anzahl tatsächlich durchgeführter Impfungen ein geeignetes und verhältnismäßiges Kriterium für die Vorhaltung der hierfür notwendigen Strukturen sein soll.</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Zwischen der Feststellung</w:t>
      </w:r>
    </w:p>
    <w:p>
      <w:pPr>
        <w:spacing w:beforeAutospacing="1" w:after="100" w:afterAutospacing="1" w:line="240" w:lineRule="auto"/>
        <w:jc w:val="both"/>
        <w:rPr>
          <w:rFonts w:ascii="Arial" w:eastAsia="Times New Roman" w:hAnsi="Arial" w:cs="Arial"/>
          <w:i/>
          <w:iCs/>
          <w:sz w:val="24"/>
          <w:szCs w:val="24"/>
          <w:lang w:eastAsia="de-DE"/>
        </w:rPr>
      </w:pPr>
      <w:r>
        <w:rPr>
          <w:rFonts w:ascii="Arial" w:eastAsia="Times New Roman" w:hAnsi="Arial" w:cs="Arial"/>
          <w:i/>
          <w:iCs/>
          <w:sz w:val="24"/>
          <w:szCs w:val="24"/>
          <w:lang w:eastAsia="de-DE"/>
        </w:rPr>
        <w:t>Schutzimpfungen gehören zur hausärztlichen Grundversorgung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und der daraus gezogenen Konsequenz</w:t>
      </w:r>
    </w:p>
    <w:p>
      <w:pPr>
        <w:spacing w:beforeAutospacing="1" w:after="100" w:afterAutospacing="1" w:line="240" w:lineRule="auto"/>
        <w:jc w:val="both"/>
        <w:rPr>
          <w:rFonts w:ascii="Arial" w:eastAsia="Times New Roman" w:hAnsi="Arial" w:cs="Arial"/>
          <w:i/>
          <w:iCs/>
          <w:sz w:val="24"/>
          <w:szCs w:val="24"/>
          <w:lang w:eastAsia="de-DE"/>
        </w:rPr>
      </w:pPr>
      <w:r>
        <w:rPr>
          <w:rFonts w:ascii="Arial" w:eastAsia="Times New Roman" w:hAnsi="Arial" w:cs="Arial"/>
          <w:i/>
          <w:iCs/>
          <w:sz w:val="24"/>
          <w:szCs w:val="24"/>
          <w:lang w:eastAsia="de-DE"/>
        </w:rPr>
        <w:t>eine bestimmte Mindestzahl von Impfungen muss durchgeführt werden, anderenfalls wird die Vergütung für die Vorhaltung der gesamten hausärztlichen Grundversorgungsstruktur um 40 % gekürzt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besteht ein erheblicher Begründungssprung.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Die Zugehörigkeit einer Leistung zum hausärztlichen Versorgungsauftrag rechtfertigt nicht ohne Weiteres, ihre </w:t>
      </w:r>
      <w:r>
        <w:rPr>
          <w:rFonts w:ascii="Arial" w:eastAsia="Times New Roman" w:hAnsi="Arial" w:cs="Arial"/>
          <w:b/>
          <w:bCs/>
          <w:sz w:val="24"/>
          <w:szCs w:val="24"/>
          <w:lang w:eastAsia="de-DE"/>
        </w:rPr>
        <w:t>quantitative Erbringung</w:t>
      </w:r>
      <w:r>
        <w:rPr>
          <w:rFonts w:ascii="Arial" w:eastAsia="Times New Roman" w:hAnsi="Arial" w:cs="Arial"/>
          <w:sz w:val="24"/>
          <w:szCs w:val="24"/>
          <w:lang w:eastAsia="de-DE"/>
        </w:rPr>
        <w:t xml:space="preserve"> als Voraussetzung für eine Strukturvergütung auszugestalten.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Nicht nachvollziehbar und inkonsistent ist dann auch die Regelung, dass die Vorhaltepauschale nicht für Ärztinnen und Ärzte der Kinder- und Jugendmedizin gelten (§ 87 Abs. 2q letzter Satz SGB V). </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IV. Impfentscheidungen sind patientenbezogene medizinische Entscheidungen und keine frei disponierbare Praxisleistung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lastRenderedPageBreak/>
        <w:t>Besonders problematisch ist, dass die Impfquote nicht allein durch die ärztliche Entscheidung bestimmt wird.</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Durchführung einer Schutzimpfung setzt regelmäßig eine konkrete medizinische Indikation bzw. Empfehlung, eine ärztliche Aufklärung sowie die Einwilligung des Patienten voraus.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Vertragsarzt kann deshalb nicht in gleicher Weise über die Zahl der Impfungen disponieren wie über die Öffnungszeiten seiner Praxis, die Teilnahme an einem Qualitätszirkel oder die organisatorische Einrichtung einer Videosprechstunde.</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Das Impfquotenkriterium behandelt diese unterschiedlichen Sachverhalte jedoch im Ergebnis so, als liege die Zahl der Impfungen vollständig in der Organisations- und Leistungssphäre der Praxis.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Das ist sachlich nicht überzeugend.</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 Arzt kann eine Impfung anbieten, medizinisch empfehlen und den Patienten aufklären. Er kann den Patienten jedoch nicht zur Annahme der Impfung verpflichten.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wirtschaftliche Sanktion für eine niedrige Impfzahl trifft hingegen ausschließlich die Praxis.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Damit wird ein Ergebnis finanziell sanktioniert, auf dessen Eintritt der Vertragsarzt nur begrenzten Einfluss hat.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Dies unterscheidet das Impfquotenkriterium grundlegend von solchen Kriterien, deren Erfüllung tatsächlich in der Organisationshoheit der Praxis liegt.</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V. Das Impfquotenkriterium erzeugt einen mittelbaren finanziellen Druck auf die ärztliche Impfberatung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Durch die Kürzung der Vorhaltepauschale um 40 % bei Unterschreitung der Mindestzahl von Impfleistungen entsteht ein erheblicher wirtschaftlicher Druck.</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Dieser Druck wirkt mittelbar auf das ärztliche Verhalten ein.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 Vertragsarzt, dessen Praxis die erforderliche Impfzahl nicht erreicht, hat ein erhebliches wirtschaftliches Interesse daran, möglichst viele Patienten für eine Impfung zu gewinnen, um die Vergütung der Vorhaltepauschale nicht zu verlieren.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Damit verändert sich die wirtschaftliche Ausgangslage der ärztlichen Beratung: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Nicht mehr ausschließlich die individuelle medizinische Indikation und der Wille des Patienten bestimmen die Bedeutung der Impfleistung für die Praxis, sondern zusätzlich die Frage, ob durch die Impfung ein bestimmter Schwellenwert erreicht wird.</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lastRenderedPageBreak/>
        <w:t>Dies ist insbesondere deshalb problematisch, weil die ärztliche Impfberatung eine individuell-medizinische Entscheidung voraussetzt.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Vergütungsstruktur darf nicht dazu führen, dass der Arzt aufgrund eines wirtschaftlichen Nachteils faktisch angehalten wird, eine bestimmte Impfzahl zu erreichen.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Es geht dabei ausdrücklich nicht darum, die Bedeutung von Schutzimpfungen für die öffentliche Gesundheit in Frage zu stellen.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Einwand richtet sich vielmehr gegen die Art des eingesetzten Steuerungsinstruments.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Förderung des Impfens mag ein legitimes gesundheitspolitisches Ziel sein. Daraus folgt aber nicht, dass jede Form finanzieller Steuerung innerhalb einer Strukturvergütung zulässig ist.</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VI. Verstoß gegen das Sachlichkeitsgebot und Art. 3 Abs. 1 GG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Regelung wirft auch unter dem Gesichtspunkt des allgemeinen Gleichheitssatzes aus Art. 3 Abs. 1 GG erhebliche Bedenken auf.</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Vergleichbare Hausarztpraxen, die dieselben organisatorischen und personellen Strukturen vorhalten und denselben hausärztlichen Versorgungsauftrag erfüllen, können allein aufgrund unterschiedlicher Patientennachfrage bei Impfleistungen unterschiedlich vergütet werden.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Eine Praxis mit beispielsweise neun Impfleistungen kann strukturell vollständig identisch ausgestattet sein mit einer Praxis mit zehn oder mehr Impfleistungen.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Dennoch führt die Unterschreitung des Schwellenwertes zu einem erheblichen finanziellen Nachteil.</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Ungleichbehandlung knüpft damit an ein Kriterium an, das für die eigentliche Frage der Vorhaltung der hausärztlichen Grundversorgungsstruktur nur eingeschränkte Aussagekraft besitzt.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Besonders problematisch ist die erhebliche Höhe des Abschlags von 40 %.</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Intensität der finanziellen Differenzierung steht außer Verhältnis zu der vergleichsweise geringen Aussagekraft einer konkreten Impfzahl für die Frage, ob die für die hausärztliche Grundversorgung notwendigen Strukturen tatsächlich vorgehalten werden.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Eine sachgerechte Strukturvergütung müsste vielmehr an objektive strukturelle bzw. versorgungsbezogene Merkmale anknüpfen.</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lastRenderedPageBreak/>
        <w:t>VII. Verhältnismäßigkeit der Regelung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Auch unter dem Gesichtspunkt der Verhältnismäßigkeit bestehen erhebliche Bedenken.</w:t>
      </w:r>
    </w:p>
    <w:p>
      <w:pPr>
        <w:spacing w:before="100" w:beforeAutospacing="1" w:after="100" w:afterAutospacing="1" w:line="240" w:lineRule="auto"/>
        <w:jc w:val="both"/>
        <w:outlineLvl w:val="3"/>
        <w:rPr>
          <w:rFonts w:ascii="Arial" w:eastAsia="Times New Roman" w:hAnsi="Arial" w:cs="Arial"/>
          <w:b/>
          <w:bCs/>
          <w:sz w:val="24"/>
          <w:szCs w:val="24"/>
          <w:lang w:eastAsia="de-DE"/>
        </w:rPr>
      </w:pPr>
      <w:r>
        <w:rPr>
          <w:rFonts w:ascii="Arial" w:eastAsia="Times New Roman" w:hAnsi="Arial" w:cs="Arial"/>
          <w:b/>
          <w:bCs/>
          <w:sz w:val="24"/>
          <w:szCs w:val="24"/>
          <w:lang w:eastAsia="de-DE"/>
        </w:rPr>
        <w:t>1. Legitimer Zweck</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Förderung der hausärztlichen Grundversorgung stellt zweifellos einen legitimen Zweck dar.</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Auch die Förderung ausreichender Schutzimpfungen kann grundsätzlich ein legitimes gesundheitspolitisches Ziel sein.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Fraglich ist jedoch bereits, ob die Impfquote ein geeignetes Mittel zur Erreichung des spezifischen Zweckes der </w:t>
      </w:r>
      <w:r>
        <w:rPr>
          <w:rFonts w:ascii="Arial" w:eastAsia="Times New Roman" w:hAnsi="Arial" w:cs="Arial"/>
          <w:b/>
          <w:bCs/>
          <w:sz w:val="24"/>
          <w:szCs w:val="24"/>
          <w:lang w:eastAsia="de-DE"/>
        </w:rPr>
        <w:t>Vorhaltevergütung</w:t>
      </w:r>
      <w:r>
        <w:rPr>
          <w:rFonts w:ascii="Arial" w:eastAsia="Times New Roman" w:hAnsi="Arial" w:cs="Arial"/>
          <w:sz w:val="24"/>
          <w:szCs w:val="24"/>
          <w:lang w:eastAsia="de-DE"/>
        </w:rPr>
        <w:t xml:space="preserve"> darstellt.</w:t>
      </w:r>
    </w:p>
    <w:p>
      <w:pPr>
        <w:spacing w:before="100" w:beforeAutospacing="1" w:after="100" w:afterAutospacing="1" w:line="240" w:lineRule="auto"/>
        <w:jc w:val="both"/>
        <w:outlineLvl w:val="3"/>
        <w:rPr>
          <w:rFonts w:ascii="Arial" w:eastAsia="Times New Roman" w:hAnsi="Arial" w:cs="Arial"/>
          <w:b/>
          <w:bCs/>
          <w:sz w:val="24"/>
          <w:szCs w:val="24"/>
          <w:lang w:eastAsia="de-DE"/>
        </w:rPr>
      </w:pPr>
      <w:r>
        <w:rPr>
          <w:rFonts w:ascii="Arial" w:eastAsia="Times New Roman" w:hAnsi="Arial" w:cs="Arial"/>
          <w:b/>
          <w:bCs/>
          <w:sz w:val="24"/>
          <w:szCs w:val="24"/>
          <w:lang w:eastAsia="de-DE"/>
        </w:rPr>
        <w:t>2. Geeignetheit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Zahl tatsächlich durchgeführter Impfungen ist nur eingeschränkt geeignet, die Vorhaltung hausärztlicher Strukturen abzubilden.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Eine geringe Impfzahl kann zahlreiche Ursachen haben, die mit der Strukturqualität der Praxis nichts zu tun haben.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Rückschluss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„wenige Impfungen = unzureichende Vorhaltung hausärztlicher Grundversorgungsstrukturen“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ist daher nicht tragfähig.</w:t>
      </w:r>
    </w:p>
    <w:p>
      <w:pPr>
        <w:spacing w:before="100" w:beforeAutospacing="1" w:after="100" w:afterAutospacing="1" w:line="240" w:lineRule="auto"/>
        <w:jc w:val="both"/>
        <w:outlineLvl w:val="3"/>
        <w:rPr>
          <w:rFonts w:ascii="Arial" w:eastAsia="Times New Roman" w:hAnsi="Arial" w:cs="Arial"/>
          <w:b/>
          <w:bCs/>
          <w:sz w:val="24"/>
          <w:szCs w:val="24"/>
          <w:lang w:eastAsia="de-DE"/>
        </w:rPr>
      </w:pPr>
      <w:r>
        <w:rPr>
          <w:rFonts w:ascii="Arial" w:eastAsia="Times New Roman" w:hAnsi="Arial" w:cs="Arial"/>
          <w:b/>
          <w:bCs/>
          <w:sz w:val="24"/>
          <w:szCs w:val="24"/>
          <w:lang w:eastAsia="de-DE"/>
        </w:rPr>
        <w:t>3. Erforderlichkeit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Selbst wenn man einen finanziellen Anreiz zur Förderung des Impfens für grundsätzlich zulässig hält, ist nicht ersichtlich, weshalb hierfür ausgerechnet eine Kürzung der </w:t>
      </w:r>
      <w:r>
        <w:rPr>
          <w:rFonts w:ascii="Arial" w:eastAsia="Times New Roman" w:hAnsi="Arial" w:cs="Arial"/>
          <w:b/>
          <w:bCs/>
          <w:sz w:val="24"/>
          <w:szCs w:val="24"/>
          <w:lang w:eastAsia="de-DE"/>
        </w:rPr>
        <w:t>Vorhaltepauschale</w:t>
      </w:r>
      <w:r>
        <w:rPr>
          <w:rFonts w:ascii="Arial" w:eastAsia="Times New Roman" w:hAnsi="Arial" w:cs="Arial"/>
          <w:sz w:val="24"/>
          <w:szCs w:val="24"/>
          <w:lang w:eastAsia="de-DE"/>
        </w:rPr>
        <w:t xml:space="preserve"> erforderlich sein soll.</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Eine gezielte Vergütung der Impfleistung selbst wie auch eine adäquate Vergütung der zugehörigen Beratungsleistungen wäre ein wesentlich zielgenaueres Instrument.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Auch eine eigenständige qualitäts- oder präventionsbezogene Vergütung könnte unmittelbar an die Durchführung entsprechender Leistungen anknüpfen.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Kürzung einer allgemeinen Strukturpauschale stellt demgegenüber ein deutlich weniger zielgenaues Instrument dar.</w:t>
      </w:r>
    </w:p>
    <w:p>
      <w:pPr>
        <w:spacing w:before="100" w:beforeAutospacing="1" w:after="100" w:afterAutospacing="1" w:line="240" w:lineRule="auto"/>
        <w:jc w:val="both"/>
        <w:outlineLvl w:val="3"/>
        <w:rPr>
          <w:rFonts w:ascii="Arial" w:eastAsia="Times New Roman" w:hAnsi="Arial" w:cs="Arial"/>
          <w:b/>
          <w:bCs/>
          <w:sz w:val="24"/>
          <w:szCs w:val="24"/>
          <w:lang w:eastAsia="de-DE"/>
        </w:rPr>
      </w:pPr>
      <w:r>
        <w:rPr>
          <w:rFonts w:ascii="Arial" w:eastAsia="Times New Roman" w:hAnsi="Arial" w:cs="Arial"/>
          <w:b/>
          <w:bCs/>
          <w:sz w:val="24"/>
          <w:szCs w:val="24"/>
          <w:lang w:eastAsia="de-DE"/>
        </w:rPr>
        <w:t>4. Angemessenheit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Schließlich erscheint insbesondere der Umfang des Eingriffs unverhältnismäßig.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lastRenderedPageBreak/>
        <w:t>Die Unterschreitung eines relativ kleinen Schwellenwertes führt zu einer Kürzung der Vorhaltepauschale um 40 %. Die finanzielle Sanktion steht damit in keinem angemessenen Verhältnis zur Aussagekraft des Kriteriums.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Eine Praxis, die ihre hausärztlichen Strukturen vollständig vorhält, wird wirtschaftlich erheblich schlechter gestellt, obwohl sie ihre strukturelle Vorhalteverpflichtung erfüllt.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Dies spricht dafür, dass mit dem Impfquotenkriterium tatsächlich ein anderes Ziel – nämlich eine Steigerung der Impfleistung – verfolgt wird.</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VIII. Das Kriterium überschreitet jedenfalls die Grenzen einer zulässigen Ausgestaltung der Vorhaltepauschale</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87 Abs. 2q SGB V eröffnet dem Bewertungsausschuss einen erheblichen Gestaltungsspielraum. Dieser Gestaltungsspielraum erlaubt es jedoch nicht, den gesetzlichen Zweck der Vorhaltepauschale beliebig zu erweitern.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gesetzliche Formulierung „insbesondere“ eröffnet die Möglichkeit, weitere sachgerechte Kriterien aufzunehmen. Sie bedeutet nicht, dass Kriterien ohne hinreichenden Bezug zur Vorhaltung der hausärztlichen Grundversorgungsstrukturen zulässig wären.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Gerade weil die Vorhaltepauschale eine Strukturvergütung darstellt, müssen die Kriterien eine nachvollziehbare Aussage darüber ermöglichen, ob und in welchem Umfang die hierfür erforderlichen Strukturen vorgehalten werden.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bloße Anzahl von Impfungen erfüllt diese Funktion nicht hinreichend.</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Regelung ist daher jedenfalls einer gerichtlichen Überprüfung unter dem Gesichtspunkt unterworfen, ob der Bewertungsausschuss seinen gesetzlich eingeräumten Gestaltungsspielraum überschritten hat.</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IX. Besondere Bedenken gegen die pauschale Anwendung auf unterschiedliche Praxen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Hinzu kommt, dass die Impfanforderung unabhängig von den individuellen Rahmenbedingungen der Praxis Anwendung findet.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Zahl der erforderlichen Impfleistungen steht nicht in einem hinreichenden Verhältnis zum konkreten Versorgungsbedarf des jeweiligen Patientenstamms.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Gerade im Bereich der Schutzimpfungen können sich jedoch erhebliche Unterschiede zwischen Praxen ergeben.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Eine Praxis mit überwiegend bereits vollständig geimpften Patienten kann trotz intensiver hausärztlicher Betreuung erheblich weniger Impfleistungen erbringen als </w:t>
      </w:r>
      <w:r>
        <w:rPr>
          <w:rFonts w:ascii="Arial" w:eastAsia="Times New Roman" w:hAnsi="Arial" w:cs="Arial"/>
          <w:sz w:val="24"/>
          <w:szCs w:val="24"/>
          <w:lang w:eastAsia="de-DE"/>
        </w:rPr>
        <w:lastRenderedPageBreak/>
        <w:t>eine Praxis mit einem Patientenstamm, bei dem entsprechende Impfungen häufiger indiziert sind.</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Ebenso können regionale Unterschiede und unterschiedliche Versorgungsstrukturen eine Rolle spielen.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Eine starre quantitative Mindestvorgabe wird diesen Unterschieden nicht gerecht.</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X. Die Ausnahmeregelung für Schwerpunktpraxen bestätigt die Problematik</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Besonders aufschlussreich ist schließlich, dass der Bewertungsausschuss selbst Ausnahmen für diabetologische Schwerpunktpraxen, HIV-Schwerpunktpraxen und Substitutionspraxen vorgesehen hat.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Dies zeigt, dass der Bewertungsausschuss selbst davon ausgeht, dass die Impfzahl nicht unabhängig vom jeweiligen Versorgungsspektrum als zwingender Indikator für die hausärztliche Grundversorgung gelten kann.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Wenn das individuelle Versorgungsspektrum einer Praxis eine Ausnahme von der Impfanforderung rechtfertigen kann, spricht dies dafür, dass auch bei anderen Praxen die individuelle Patientenstruktur und das tatsächliche Versorgungsgeschehen stärker berücksichtigt werden müssten.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Beschränkung der Ausnahme auf bestimmte Schwerpunktpraxen erscheint insoweit ebenfalls begründungsbedürftig.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Auch an dieser Stelle ist zu erwähnen, dass die Vorhaltepauschale ausdrücklich nicht gilt für Ärztinnen und Ärzte der Kinder- und Jugendmedizin, obwohl gerade bei diesen viele Impfungen als Teil der Grundversorgung anfallen. Diese unterschiedliche Behandlung ist nicht nachvollziehbar und verstärkt die Zweifel an der Sachgerechtigkeit dieses Kriteriums innerhalb der Neuregelung der Vorhaltepauschale. </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XI. Keine Gleichsetzung von Impfempfehlung und Impfentscheidung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Vorsorglich wird ausdrücklich klargestellt: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Es wird nicht geltend gemacht, dass Hausärzte Schutzimpfungen nicht anbieten, empfehlen oder durchführen sollten.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Im Gegenteil ist die verantwortungsvolle Durchführung und am Einzelfall ausgerichtete individuelle Beratung zu Schutzimpfungen selbstverständlich Bestandteil einer qualitätsvollen hausärztlichen Versorgung.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Entscheidend ist jedoch die rechtliche Unterscheidung zwischen</w:t>
      </w:r>
    </w:p>
    <w:p>
      <w:pPr>
        <w:numPr>
          <w:ilvl w:val="0"/>
          <w:numId w:val="4"/>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lastRenderedPageBreak/>
        <w:t>der Verpflichtung bzw. Aufgabe, Patienten über sinnvolle und indizierte Schutzimpfungen zu beraten und diese anzubieten,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und</w:t>
      </w:r>
    </w:p>
    <w:p>
      <w:pPr>
        <w:numPr>
          <w:ilvl w:val="0"/>
          <w:numId w:val="5"/>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Verpflichtung, eine bestimmte Anzahl tatsächlich durchgeführter Impfungen zu erreichen, um eine ansonsten verdiente Strukturvergütung nicht zu verlieren.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Nur Letzteres ist Gegenstand dieses Widerspruchs.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Ein finanzieller Anreiz, eine bestimmte Impfquote zu erreichen, kann einen mittelbaren Druck erzeugen, der mit einer ausschließlich am individuellen medizinischen Bedarf orientierten ärztlichen Entscheidungsfindung nicht ohne Weiteres vereinbar ist.</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XII. Erfordernis einer nachvollziehbaren Begründung und Evaluation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Bewertungsausschuss hat in seinem Beschluss selbst vorgesehen, die Entwicklung der GOP 03040, 03041 und 03042 nach dem Inkrafttreten zu evaluieren und insbesondere Leistungsmengen, Leistungsbedarf und die Zahl der abrechnenden Praxen zu untersuchen.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Dies unterstreicht, dass die Auswirkungen der neuen Regelung noch einer empirischen Überprüfung bedürfen.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Für die hier streitige Frage ist insbesondere zu untersuchen,</w:t>
      </w:r>
    </w:p>
    <w:p>
      <w:pPr>
        <w:numPr>
          <w:ilvl w:val="0"/>
          <w:numId w:val="6"/>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ob die Impfanforderung tatsächlich die Vorhaltung hausärztlicher Strukturen abbildet,</w:t>
      </w:r>
    </w:p>
    <w:p>
      <w:pPr>
        <w:numPr>
          <w:ilvl w:val="0"/>
          <w:numId w:val="6"/>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ob Praxen aufgrund der Regelung ihr Impfverhalten verändern,</w:t>
      </w:r>
    </w:p>
    <w:p>
      <w:pPr>
        <w:numPr>
          <w:ilvl w:val="0"/>
          <w:numId w:val="6"/>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ob die Regelung zu einer medizinisch sachgerechten oder lediglich quantitativ erhöhten Impfleistung führt,</w:t>
      </w:r>
    </w:p>
    <w:p>
      <w:pPr>
        <w:numPr>
          <w:ilvl w:val="0"/>
          <w:numId w:val="6"/>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ob regionale und patientenstrukturelle Unterschiede zu sachlich nicht gerechtfertigten Vergütungsunterschieden führen,</w:t>
      </w:r>
    </w:p>
    <w:p>
      <w:pPr>
        <w:numPr>
          <w:ilvl w:val="0"/>
          <w:numId w:val="6"/>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und ob die erhebliche Kürzung der Vorhaltepauschale bei Unterschreitung der Mindestzahl in einem angemessenen Verhältnis zu dem verfolgten Zweck steht.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Solange diese Fragen nicht hinreichend geklärt sind, bestehen erhebliche Zweifel daran, dass die konkrete Ausgestaltung der Impfanforderung als sachgerechtes und verhältnismäßiges Kriterium einer Strukturvergütung angesehen werden kann.</w:t>
      </w:r>
    </w:p>
    <w:p>
      <w:pPr>
        <w:spacing w:before="100" w:beforeAutospacing="1" w:after="100" w:afterAutospacing="1" w:line="240" w:lineRule="auto"/>
        <w:jc w:val="both"/>
        <w:rPr>
          <w:rFonts w:ascii="Arial" w:eastAsia="Times New Roman" w:hAnsi="Arial" w:cs="Arial"/>
          <w:sz w:val="24"/>
          <w:szCs w:val="24"/>
          <w:lang w:eastAsia="de-DE"/>
        </w:rPr>
      </w:pPr>
    </w:p>
    <w:p>
      <w:pPr>
        <w:spacing w:before="100" w:beforeAutospacing="1" w:after="100" w:afterAutospacing="1" w:line="240" w:lineRule="auto"/>
        <w:jc w:val="both"/>
        <w:outlineLvl w:val="2"/>
        <w:rPr>
          <w:rFonts w:ascii="Arial" w:eastAsia="Times New Roman" w:hAnsi="Arial" w:cs="Arial"/>
          <w:b/>
          <w:bCs/>
          <w:sz w:val="27"/>
          <w:szCs w:val="27"/>
          <w:lang w:eastAsia="de-DE"/>
        </w:rPr>
      </w:pPr>
      <w:r>
        <w:rPr>
          <w:rFonts w:ascii="Arial" w:eastAsia="Times New Roman" w:hAnsi="Arial" w:cs="Arial"/>
          <w:b/>
          <w:bCs/>
          <w:sz w:val="27"/>
          <w:szCs w:val="27"/>
          <w:lang w:eastAsia="de-DE"/>
        </w:rPr>
        <w:t>XIII. Ergebnis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Zusammenfassend ist festzuhalten: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Vorhaltepauschale soll die Vorhaltung der für die hausärztliche Grundversorgung notwendigen Strukturen vergüten.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lastRenderedPageBreak/>
        <w:t>Die Anzahl der tatsächlich durchgeführten Schutzimpfungen ist jedoch kein hinreichend zuverlässiger und auch kein sachgerechter Indikator für die Vorhaltung solcher Strukturen.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Sie hängt wesentlich von der individuellen Patientennachfrage, der Patientenstruktur, medizinischen Indikationen und Kontraindikationen sowie der individuellen Entscheidung des Patienten ab.</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Anknüpfung der Vergütung einer allgemeinen Strukturpauschale an eine bestimmte Impfzahl führt daher zu einer sachlich problematischen Vermischung von Strukturförderung und gesundheitspolitischer Mengensteuerung.</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Insbesondere die erhebliche finanzielle Kürzung der Vorhaltepauschale bei Unterschreitung des Schwellenwertes erzeugt einen mittelbaren wirtschaftlichen Druck, eine bestimmte Anzahl von Impfungen zu erreichen.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Damit wird ein patientenbezogenes medizinisches Entscheidungsgeschehen zu einem maßgeblichen Kriterium für die Vergütung der gesamten hausärztlichen Vorhaltestruktur gemacht.</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Dies begegnet erheblichen rechtlichen Bedenken unter dem Gesichtspunkt des gesetzlichen Regelungszwecks des § 87 Abs. 2q SGB V, des Sachlichkeitsgebots, des allgemeinen Gleichheitssatzes aus Art. 3 Abs. 1 GG sowie der Berufsausübungsfreiheit aus Art. 12 Abs. 1 GG und des Verhältnismäßigkeitsgrundsatzes.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Ich fordere daher, den Honorarbescheid entsprechend zu korrigieren und die Vorhaltepauschale ohne Anwendung des beanstandeten Impfquotenkriteriums festzusetzen.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Sollte dem Widerspruch nicht abgeholfen werden, bitte ich um Erlass eines rechtsmittelfähigen Widerspruchsbescheides sowie um eine konkrete Darlegung,</w:t>
      </w:r>
    </w:p>
    <w:p>
      <w:pPr>
        <w:numPr>
          <w:ilvl w:val="0"/>
          <w:numId w:val="7"/>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auf welche gesetzliche Ermächtigungsgrundlage die Anknüpfung der Vorhaltevergütung an eine Mindestzahl tatsächlich durchgeführter Impfungen gestützt wird,</w:t>
      </w:r>
    </w:p>
    <w:p>
      <w:pPr>
        <w:numPr>
          <w:ilvl w:val="0"/>
          <w:numId w:val="7"/>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weshalb die Impfzahl als geeignetes Maß für die Vorhaltung hausärztlicher Strukturen angesehen wird,</w:t>
      </w:r>
    </w:p>
    <w:p>
      <w:pPr>
        <w:numPr>
          <w:ilvl w:val="0"/>
          <w:numId w:val="7"/>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aufgrund welcher tatsächlichen Erkenntnisse die Erheblichkeit des 40-prozentigen Abschlags gerechtfertigt wird,</w:t>
      </w:r>
    </w:p>
    <w:p>
      <w:pPr>
        <w:numPr>
          <w:ilvl w:val="0"/>
          <w:numId w:val="7"/>
        </w:num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und aus welchen Gründen weniger eingriffsintensive und zielgenauere Förderinstrumente nicht gewählt wurden.</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b/>
          <w:bCs/>
          <w:sz w:val="24"/>
          <w:szCs w:val="24"/>
          <w:lang w:eastAsia="de-DE"/>
        </w:rPr>
        <w:t>Mit freundlichen Grüßen</w:t>
      </w:r>
    </w:p>
    <w:p>
      <w:pPr>
        <w:spacing w:before="100" w:beforeAutospacing="1" w:after="100" w:afterAutospacing="1" w:line="240" w:lineRule="auto"/>
        <w:jc w:val="both"/>
        <w:rPr>
          <w:rFonts w:ascii="Arial" w:eastAsia="Times New Roman" w:hAnsi="Arial" w:cs="Arial"/>
          <w:sz w:val="24"/>
          <w:szCs w:val="24"/>
          <w:highlight w:val="yellow"/>
          <w:lang w:eastAsia="de-DE"/>
        </w:rPr>
      </w:pPr>
      <w:r>
        <w:rPr>
          <w:rFonts w:ascii="Arial" w:eastAsia="Times New Roman" w:hAnsi="Arial" w:cs="Arial"/>
          <w:sz w:val="24"/>
          <w:szCs w:val="24"/>
          <w:highlight w:val="yellow"/>
          <w:lang w:eastAsia="de-DE"/>
        </w:rPr>
        <w:t>[Name]</w:t>
      </w:r>
    </w:p>
    <w:p>
      <w:pPr>
        <w:spacing w:before="100" w:beforeAutospacing="1" w:after="100" w:afterAutospacing="1" w:line="240" w:lineRule="auto"/>
        <w:jc w:val="both"/>
        <w:rPr>
          <w:rFonts w:ascii="Arial" w:eastAsia="Times New Roman" w:hAnsi="Arial" w:cs="Arial"/>
          <w:sz w:val="24"/>
          <w:szCs w:val="24"/>
          <w:highlight w:val="yellow"/>
          <w:lang w:eastAsia="de-DE"/>
        </w:rPr>
      </w:pPr>
      <w:r>
        <w:rPr>
          <w:rFonts w:ascii="Arial" w:eastAsia="Times New Roman" w:hAnsi="Arial" w:cs="Arial"/>
          <w:sz w:val="24"/>
          <w:szCs w:val="24"/>
          <w:highlight w:val="yellow"/>
          <w:lang w:eastAsia="de-DE"/>
        </w:rPr>
        <w:t>[LANR / BSNR]</w:t>
      </w:r>
    </w:p>
    <w:p>
      <w:pPr>
        <w:spacing w:before="100" w:beforeAutospacing="1" w:after="100" w:afterAutospacing="1" w:line="240" w:lineRule="auto"/>
        <w:jc w:val="both"/>
        <w:rPr>
          <w:rFonts w:ascii="Arial" w:eastAsia="Times New Roman" w:hAnsi="Arial" w:cs="Arial"/>
          <w:sz w:val="24"/>
          <w:szCs w:val="24"/>
          <w:highlight w:val="yellow"/>
          <w:lang w:eastAsia="de-DE"/>
        </w:rPr>
      </w:pPr>
      <w:r>
        <w:rPr>
          <w:rFonts w:ascii="Arial" w:eastAsia="Times New Roman" w:hAnsi="Arial" w:cs="Arial"/>
          <w:sz w:val="24"/>
          <w:szCs w:val="24"/>
          <w:highlight w:val="yellow"/>
          <w:lang w:eastAsia="de-DE"/>
        </w:rPr>
        <w:t>[Praxis]</w:t>
      </w:r>
    </w:p>
    <w:p>
      <w:pPr>
        <w:spacing w:before="100" w:beforeAutospacing="1" w:after="100" w:afterAutospacing="1" w:line="240" w:lineRule="auto"/>
        <w:jc w:val="both"/>
        <w:rPr>
          <w:rFonts w:ascii="Arial" w:eastAsia="Times New Roman" w:hAnsi="Arial" w:cs="Arial"/>
          <w:sz w:val="24"/>
          <w:szCs w:val="24"/>
          <w:lang w:eastAsia="de-DE"/>
        </w:rPr>
      </w:pPr>
      <w:r>
        <w:rPr>
          <w:rFonts w:ascii="Arial" w:eastAsia="Times New Roman" w:hAnsi="Arial" w:cs="Arial"/>
          <w:sz w:val="24"/>
          <w:szCs w:val="24"/>
          <w:highlight w:val="yellow"/>
          <w:lang w:eastAsia="de-DE"/>
        </w:rPr>
        <w:lastRenderedPageBreak/>
        <w:t>[Anschrift]</w:t>
      </w:r>
    </w:p>
    <w:sectPr>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642136"/>
      <w:docPartObj>
        <w:docPartGallery w:val="Page Numbers (Bottom of Page)"/>
        <w:docPartUnique/>
      </w:docPartObj>
    </w:sdtPr>
    <w:sdtContent>
      <w:p>
        <w:pPr>
          <w:pStyle w:val="Fuzeile"/>
          <w:jc w:val="right"/>
        </w:pPr>
        <w:r>
          <w:fldChar w:fldCharType="begin"/>
        </w:r>
        <w:r>
          <w:instrText>PAGE   \* MERGEFORMAT</w:instrText>
        </w:r>
        <w:r>
          <w:fldChar w:fldCharType="separate"/>
        </w:r>
        <w:r>
          <w:rPr>
            <w:noProof/>
          </w:rPr>
          <w:t>1</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D84"/>
    <w:multiLevelType w:val="multilevel"/>
    <w:tmpl w:val="90E0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20F27"/>
    <w:multiLevelType w:val="multilevel"/>
    <w:tmpl w:val="DEC8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FC24F0"/>
    <w:multiLevelType w:val="multilevel"/>
    <w:tmpl w:val="70A25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A91F14"/>
    <w:multiLevelType w:val="multilevel"/>
    <w:tmpl w:val="E770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A636BE"/>
    <w:multiLevelType w:val="multilevel"/>
    <w:tmpl w:val="9B82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557C8D"/>
    <w:multiLevelType w:val="multilevel"/>
    <w:tmpl w:val="EA6E43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502229"/>
    <w:multiLevelType w:val="multilevel"/>
    <w:tmpl w:val="740C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EEF0A-1A7C-4CE6-A276-B8E8B493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OFFICE%202016\Dok_leer_Seitenz.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Dok_leer_Seitenz.dotx</Template>
  <TotalTime>0</TotalTime>
  <Pages>12</Pages>
  <Words>3066</Words>
  <Characters>19318</Characters>
  <Application>Microsoft Office Word</Application>
  <DocSecurity>0</DocSecurity>
  <Lines>160</Lines>
  <Paragraphs>44</Paragraphs>
  <ScaleCrop>false</ScaleCrop>
  <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dc:creator>
  <cp:keywords/>
  <dc:description/>
  <cp:lastModifiedBy>KT</cp:lastModifiedBy>
  <cp:revision>1</cp:revision>
  <dcterms:created xsi:type="dcterms:W3CDTF">2026-08-10T08:25:00Z</dcterms:created>
  <dcterms:modified xsi:type="dcterms:W3CDTF">2026-08-10T08:26:00Z</dcterms:modified>
</cp:coreProperties>
</file>